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25" w:rsidRDefault="00A46B25" w:rsidP="00A46B25">
      <w:pPr>
        <w:spacing w:after="240" w:line="240" w:lineRule="auto"/>
        <w:rPr>
          <w:rFonts w:cs="Arial"/>
          <w:lang w:bidi="ar-EG"/>
        </w:rPr>
      </w:pPr>
    </w:p>
    <w:p w:rsidR="00A46B25" w:rsidRDefault="00A46B25" w:rsidP="00A46B25">
      <w:pPr>
        <w:spacing w:after="240" w:line="240" w:lineRule="auto"/>
        <w:rPr>
          <w:lang w:bidi="ar-EG"/>
        </w:rPr>
      </w:pPr>
      <w:r w:rsidRPr="005423DD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15240</wp:posOffset>
            </wp:positionV>
            <wp:extent cx="624205" cy="506730"/>
            <wp:effectExtent l="0" t="0" r="4445" b="7620"/>
            <wp:wrapSquare wrapText="bothSides"/>
            <wp:docPr id="10" name="Picture 3" descr="C:\Users\User\Downloads\لوج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3" descr="C:\Users\User\Downloads\لوج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3DD">
        <w:rPr>
          <w:rFonts w:cs="Arial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35560</wp:posOffset>
            </wp:positionV>
            <wp:extent cx="614680" cy="526415"/>
            <wp:effectExtent l="0" t="0" r="0" b="6985"/>
            <wp:wrapSquare wrapText="bothSides"/>
            <wp:docPr id="1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3DD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10795</wp:posOffset>
            </wp:positionV>
            <wp:extent cx="595630" cy="536575"/>
            <wp:effectExtent l="0" t="0" r="0" b="0"/>
            <wp:wrapSquare wrapText="bothSides"/>
            <wp:docPr id="9" name="Picture 9" descr="C:\Users\User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B25" w:rsidRPr="00DF121B" w:rsidRDefault="00A46B25" w:rsidP="00A46B25">
      <w:pPr>
        <w:spacing w:after="240" w:line="240" w:lineRule="auto"/>
        <w:rPr>
          <w:lang w:bidi="ar-EG"/>
        </w:rPr>
      </w:pPr>
    </w:p>
    <w:p w:rsidR="00A46B25" w:rsidRPr="00DF121B" w:rsidRDefault="00A46B25" w:rsidP="00A46B25">
      <w:pPr>
        <w:spacing w:after="0"/>
        <w:rPr>
          <w:lang w:bidi="ar-EG"/>
        </w:rPr>
      </w:pPr>
      <w:r w:rsidRPr="00D6269B">
        <w:rPr>
          <w:rFonts w:ascii="Arial Black" w:hAnsi="Arial Black"/>
          <w:b/>
          <w:bCs/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3.5pt;height:46.2pt" fillcolor="#369" strokecolor="#0070c0">
            <v:shadow color="#b2b2b2" opacity="52429f" offset="3pt"/>
            <v:textpath style="font-family:&quot;Times New Roman&quot;;font-size:10pt;v-text-kern:t" trim="t" fitpath="t" string="Beni – Suef University&#10;Faculty of Postgraduate Studies for Advanced Sciences&#10;(PSAS)&#10;"/>
          </v:shape>
        </w:pict>
      </w:r>
    </w:p>
    <w:p w:rsidR="00A46B25" w:rsidRDefault="00A46B25" w:rsidP="00A46B25">
      <w:pPr>
        <w:spacing w:after="0"/>
        <w:jc w:val="center"/>
        <w:rPr>
          <w:b/>
          <w:bCs/>
          <w:sz w:val="40"/>
          <w:szCs w:val="40"/>
          <w:lang w:bidi="ar-EG"/>
        </w:rPr>
      </w:pPr>
      <w:r w:rsidRPr="00D6269B">
        <w:rPr>
          <w:b/>
          <w:bCs/>
          <w:sz w:val="40"/>
          <w:szCs w:val="40"/>
          <w:lang w:bidi="ar-EG"/>
        </w:rPr>
        <w:pict>
          <v:shape id="_x0000_i1026" type="#_x0000_t136" style="width:115pt;height:23.65pt" stroked="f">
            <v:fill color2="#aaa" type="gradient"/>
            <v:shadow on="t" color="#4d4d4d" opacity="52429f" offset=",3pt"/>
            <v:textpath style="font-family:&quot;Arial Black&quot;;font-size:18pt;v-text-spacing:78650f;v-text-kern:t" trim="t" fitpath="t" string="Central Lab"/>
          </v:shape>
        </w:pict>
      </w:r>
    </w:p>
    <w:p w:rsidR="00A46B25" w:rsidRDefault="00A46B25" w:rsidP="00A46B25">
      <w:pPr>
        <w:spacing w:after="0"/>
        <w:jc w:val="center"/>
        <w:rPr>
          <w:b/>
          <w:bCs/>
          <w:sz w:val="28"/>
          <w:szCs w:val="28"/>
          <w:lang w:bidi="ar-EG"/>
        </w:rPr>
      </w:pPr>
    </w:p>
    <w:p w:rsidR="00A46B25" w:rsidRDefault="00A46B25" w:rsidP="00A46B25">
      <w:pPr>
        <w:spacing w:after="0" w:line="360" w:lineRule="auto"/>
        <w:jc w:val="right"/>
        <w:rPr>
          <w:b/>
          <w:bCs/>
          <w:sz w:val="28"/>
          <w:szCs w:val="28"/>
          <w:lang w:bidi="ar-EG"/>
        </w:rPr>
      </w:pPr>
      <w:r w:rsidRPr="009810B2">
        <w:rPr>
          <w:b/>
          <w:bCs/>
          <w:sz w:val="28"/>
          <w:szCs w:val="28"/>
          <w:lang w:bidi="ar-EG"/>
        </w:rPr>
        <w:t>Contact us</w:t>
      </w:r>
    </w:p>
    <w:p w:rsidR="00A46B25" w:rsidRPr="00F20C1B" w:rsidRDefault="00A46B25" w:rsidP="00A46B25">
      <w:pPr>
        <w:pStyle w:val="Heading1"/>
        <w:shd w:val="clear" w:color="auto" w:fill="FFFFFF"/>
        <w:spacing w:before="0" w:after="150" w:line="360" w:lineRule="auto"/>
        <w:rPr>
          <w:rFonts w:asciiTheme="minorHAnsi" w:eastAsiaTheme="minorEastAsia" w:hAnsiTheme="minorHAnsi" w:cstheme="minorBidi"/>
          <w:sz w:val="24"/>
          <w:szCs w:val="24"/>
          <w:rtl/>
          <w:lang w:bidi="ar-EG"/>
        </w:rPr>
      </w:pPr>
      <w:r w:rsidRPr="00BE6F16">
        <w:rPr>
          <w:rFonts w:ascii="Arial Black" w:hAnsi="Arial Black"/>
          <w:color w:val="0070C0"/>
          <w:sz w:val="20"/>
          <w:szCs w:val="20"/>
          <w:lang w:bidi="ar-EG"/>
        </w:rPr>
        <w:t>Address :</w:t>
      </w:r>
      <w:r w:rsidRPr="00F20C1B">
        <w:rPr>
          <w:rFonts w:asciiTheme="minorHAnsi" w:eastAsiaTheme="minorEastAsia" w:hAnsiTheme="minorHAnsi" w:cstheme="minorBidi"/>
          <w:sz w:val="24"/>
          <w:szCs w:val="24"/>
          <w:lang w:bidi="ar-EG"/>
        </w:rPr>
        <w:t>Beni-Suef University , East of the Nile , beside Faculty of Industrial Education</w:t>
      </w:r>
      <w:r w:rsidRPr="00F20C1B">
        <w:rPr>
          <w:rFonts w:asciiTheme="minorHAnsi" w:eastAsiaTheme="minorEastAsia" w:hAnsiTheme="minorHAnsi" w:cstheme="minorBidi"/>
          <w:sz w:val="24"/>
          <w:szCs w:val="24"/>
          <w:rtl/>
          <w:lang w:bidi="ar-EG"/>
        </w:rPr>
        <w:t>.</w:t>
      </w:r>
    </w:p>
    <w:p w:rsidR="00A46B25" w:rsidRPr="009D76FC" w:rsidRDefault="00A46B25" w:rsidP="00A46B25">
      <w:pPr>
        <w:pStyle w:val="Heading1"/>
        <w:shd w:val="clear" w:color="auto" w:fill="FFFFFF"/>
        <w:spacing w:before="300" w:line="360" w:lineRule="auto"/>
        <w:rPr>
          <w:rFonts w:asciiTheme="minorHAnsi" w:eastAsiaTheme="minorEastAsia" w:hAnsiTheme="minorHAnsi" w:cstheme="minorBidi"/>
          <w:color w:val="FF0000"/>
          <w:sz w:val="24"/>
          <w:szCs w:val="24"/>
          <w:lang w:bidi="ar-EG"/>
        </w:rPr>
      </w:pPr>
      <w:r>
        <w:rPr>
          <w:rFonts w:ascii="Arial Black" w:hAnsi="Arial Black"/>
          <w:color w:val="0070C0"/>
          <w:sz w:val="20"/>
          <w:szCs w:val="20"/>
          <w:lang w:bidi="ar-EG"/>
        </w:rPr>
        <w:t>Mobile</w:t>
      </w:r>
      <w:r w:rsidRPr="00BE6F16">
        <w:rPr>
          <w:rFonts w:ascii="Arial Black" w:hAnsi="Arial Black"/>
          <w:color w:val="0070C0"/>
          <w:sz w:val="20"/>
          <w:szCs w:val="20"/>
          <w:lang w:bidi="ar-EG"/>
        </w:rPr>
        <w:t xml:space="preserve">    :</w:t>
      </w:r>
      <w:r>
        <w:rPr>
          <w:rFonts w:asciiTheme="minorHAnsi" w:eastAsiaTheme="minorEastAsia" w:hAnsiTheme="minorHAnsi" w:cstheme="minorBidi"/>
          <w:sz w:val="24"/>
          <w:szCs w:val="24"/>
          <w:lang w:bidi="ar-EG"/>
        </w:rPr>
        <w:t>01224209924 - 01012640836</w:t>
      </w:r>
    </w:p>
    <w:p w:rsidR="00A46B25" w:rsidRPr="00341082" w:rsidRDefault="00A46B25" w:rsidP="00A46B25">
      <w:pPr>
        <w:spacing w:after="0" w:line="360" w:lineRule="auto"/>
        <w:jc w:val="right"/>
        <w:rPr>
          <w:lang w:bidi="ar-EG"/>
        </w:rPr>
      </w:pPr>
      <w:bookmarkStart w:id="0" w:name="_GoBack"/>
      <w:bookmarkEnd w:id="0"/>
      <w:r w:rsidRPr="00BA16C1">
        <w:rPr>
          <w:rFonts w:ascii="Arial Black" w:eastAsiaTheme="majorEastAsia" w:hAnsi="Arial Black" w:cstheme="majorBidi"/>
          <w:b/>
          <w:bCs/>
          <w:color w:val="0070C0"/>
          <w:sz w:val="20"/>
          <w:szCs w:val="20"/>
          <w:lang w:bidi="ar-EG"/>
        </w:rPr>
        <w:t>Email :</w:t>
      </w:r>
      <w:r w:rsidRPr="002C5EFD">
        <w:rPr>
          <w:b/>
          <w:bCs/>
          <w:sz w:val="24"/>
          <w:szCs w:val="24"/>
          <w:lang w:bidi="ar-EG"/>
        </w:rPr>
        <w:t>central</w:t>
      </w:r>
      <w:r>
        <w:rPr>
          <w:b/>
          <w:bCs/>
          <w:sz w:val="24"/>
          <w:szCs w:val="24"/>
          <w:lang w:bidi="ar-EG"/>
        </w:rPr>
        <w:t>.lab166@gmail.com</w:t>
      </w:r>
    </w:p>
    <w:p w:rsidR="00A46B25" w:rsidRDefault="00A46B25" w:rsidP="00A46B25">
      <w:pPr>
        <w:spacing w:after="0" w:line="322" w:lineRule="exact"/>
        <w:rPr>
          <w:b/>
          <w:bCs/>
          <w:color w:val="548DD4" w:themeColor="text2" w:themeTint="99"/>
          <w:sz w:val="32"/>
          <w:szCs w:val="32"/>
          <w:lang w:bidi="ar-EG"/>
        </w:rPr>
      </w:pPr>
      <w:r w:rsidRPr="00CC246E">
        <w:rPr>
          <w:rFonts w:hint="cs"/>
          <w:b/>
          <w:bCs/>
          <w:color w:val="548DD4" w:themeColor="text2" w:themeTint="99"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</w:t>
      </w:r>
    </w:p>
    <w:p w:rsidR="00A46B25" w:rsidRPr="00E45E48" w:rsidRDefault="00A46B25" w:rsidP="00A46B25">
      <w:pPr>
        <w:spacing w:after="120" w:line="240" w:lineRule="auto"/>
        <w:jc w:val="right"/>
        <w:rPr>
          <w:rFonts w:ascii="Calibri" w:eastAsia="Times New Roman" w:hAnsi="Calibri" w:cs="Arial"/>
          <w:b/>
          <w:bCs/>
          <w:color w:val="FF0000"/>
          <w:sz w:val="32"/>
          <w:szCs w:val="32"/>
          <w:lang w:bidi="ar-EG"/>
        </w:rPr>
      </w:pPr>
      <w:r w:rsidRPr="00E45E48">
        <w:rPr>
          <w:rFonts w:ascii="Calibri" w:eastAsia="Times New Roman" w:hAnsi="Calibri" w:cs="Arial"/>
          <w:b/>
          <w:bCs/>
          <w:color w:val="FF0000"/>
          <w:sz w:val="32"/>
          <w:szCs w:val="32"/>
          <w:lang w:bidi="ar-EG"/>
        </w:rPr>
        <w:t>X – ray Diffraction</w:t>
      </w:r>
    </w:p>
    <w:p w:rsidR="00A46B25" w:rsidRPr="002C5EFD" w:rsidRDefault="00A46B25" w:rsidP="00A46B25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bidi="ar-EG"/>
        </w:rPr>
      </w:pPr>
      <w:r w:rsidRPr="002C5EFD">
        <w:rPr>
          <w:rFonts w:ascii="Calibri" w:eastAsia="Times New Roman" w:hAnsi="Calibri" w:cs="Arial"/>
          <w:b/>
          <w:bCs/>
          <w:sz w:val="20"/>
          <w:szCs w:val="20"/>
          <w:lang w:bidi="ar-EG"/>
        </w:rPr>
        <w:t>Mo</w:t>
      </w:r>
      <w:r>
        <w:rPr>
          <w:rFonts w:ascii="Calibri" w:eastAsia="Times New Roman" w:hAnsi="Calibri" w:cs="Arial"/>
          <w:b/>
          <w:bCs/>
          <w:sz w:val="20"/>
          <w:szCs w:val="20"/>
          <w:lang w:bidi="ar-EG"/>
        </w:rPr>
        <w:t>del : 202964 PANalytical Empyrean</w:t>
      </w:r>
    </w:p>
    <w:p w:rsidR="00A46B25" w:rsidRDefault="00A46B25" w:rsidP="00A46B25">
      <w:pPr>
        <w:spacing w:after="0" w:line="200" w:lineRule="exact"/>
        <w:rPr>
          <w:b/>
          <w:bCs/>
          <w:color w:val="548DD4" w:themeColor="text2" w:themeTint="99"/>
          <w:sz w:val="20"/>
          <w:szCs w:val="20"/>
          <w:lang w:bidi="ar-EG"/>
        </w:rPr>
      </w:pPr>
    </w:p>
    <w:p w:rsidR="00A46B25" w:rsidRPr="002C5EFD" w:rsidRDefault="00A46B25" w:rsidP="00A46B25">
      <w:pPr>
        <w:spacing w:after="0" w:line="200" w:lineRule="exact"/>
        <w:rPr>
          <w:b/>
          <w:bCs/>
          <w:color w:val="548DD4" w:themeColor="text2" w:themeTint="99"/>
          <w:sz w:val="20"/>
          <w:szCs w:val="20"/>
          <w:lang w:bidi="ar-EG"/>
        </w:rPr>
      </w:pPr>
    </w:p>
    <w:p w:rsidR="00A46B25" w:rsidRPr="00D83E96" w:rsidRDefault="00A46B25" w:rsidP="00A46B25">
      <w:pPr>
        <w:spacing w:after="0" w:line="280" w:lineRule="exact"/>
        <w:jc w:val="both"/>
        <w:rPr>
          <w:rFonts w:cstheme="majorBidi"/>
          <w:b/>
          <w:bCs/>
          <w:color w:val="548DD4" w:themeColor="text2" w:themeTint="99"/>
          <w:sz w:val="24"/>
          <w:szCs w:val="24"/>
          <w:lang w:bidi="ar-EG"/>
        </w:rPr>
      </w:pPr>
      <w:r w:rsidRPr="002C5EFD">
        <w:rPr>
          <w:rFonts w:cs="Arial"/>
          <w:b/>
          <w:bCs/>
          <w:noProof/>
          <w:sz w:val="20"/>
          <w:szCs w:val="20"/>
          <w:rtl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261620</wp:posOffset>
            </wp:positionV>
            <wp:extent cx="1863725" cy="1344930"/>
            <wp:effectExtent l="183198" t="197802" r="186372" b="186373"/>
            <wp:wrapSquare wrapText="right"/>
            <wp:docPr id="14" name="Picture 14" descr="D:\المعمل المركزي\صور الاجهزة\20140603_14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المعمل المركزي\صور الاجهزة\20140603_145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3725" cy="1344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83E96">
        <w:rPr>
          <w:rFonts w:cstheme="majorBidi"/>
          <w:b/>
          <w:bCs/>
          <w:sz w:val="24"/>
          <w:szCs w:val="24"/>
          <w:lang w:bidi="ar-EG"/>
        </w:rPr>
        <w:t xml:space="preserve">The technique uniquely provides phase identification (e.g. graphite or diamond), along with phase quantification and   crystallite size </w:t>
      </w:r>
      <w:r>
        <w:rPr>
          <w:rFonts w:cstheme="majorBidi"/>
          <w:b/>
          <w:bCs/>
          <w:sz w:val="24"/>
          <w:szCs w:val="24"/>
        </w:rPr>
        <w:t>for</w:t>
      </w:r>
      <w:r w:rsidRPr="00D83E96">
        <w:rPr>
          <w:rFonts w:cstheme="majorBidi"/>
          <w:b/>
          <w:bCs/>
          <w:sz w:val="24"/>
          <w:szCs w:val="24"/>
        </w:rPr>
        <w:t xml:space="preserve"> all powdered samples. </w:t>
      </w:r>
    </w:p>
    <w:p w:rsidR="00A46B25" w:rsidRPr="002C5EFD" w:rsidRDefault="00A46B25" w:rsidP="00A46B25">
      <w:pPr>
        <w:spacing w:after="0" w:line="200" w:lineRule="exact"/>
        <w:rPr>
          <w:b/>
          <w:bCs/>
          <w:color w:val="548DD4" w:themeColor="text2" w:themeTint="99"/>
          <w:sz w:val="20"/>
          <w:szCs w:val="20"/>
          <w:lang w:bidi="ar-EG"/>
        </w:rPr>
      </w:pPr>
    </w:p>
    <w:p w:rsidR="00A46B25" w:rsidRPr="002C5EFD" w:rsidRDefault="00A46B25" w:rsidP="00A46B25">
      <w:pPr>
        <w:spacing w:after="0" w:line="200" w:lineRule="exact"/>
        <w:rPr>
          <w:b/>
          <w:bCs/>
          <w:color w:val="548DD4" w:themeColor="text2" w:themeTint="99"/>
          <w:sz w:val="20"/>
          <w:szCs w:val="20"/>
          <w:lang w:bidi="ar-EG"/>
        </w:rPr>
      </w:pPr>
    </w:p>
    <w:p w:rsidR="00A46B25" w:rsidRDefault="00A46B25" w:rsidP="00A46B25">
      <w:pPr>
        <w:spacing w:after="0" w:line="200" w:lineRule="exact"/>
        <w:rPr>
          <w:b/>
          <w:bCs/>
          <w:color w:val="548DD4" w:themeColor="text2" w:themeTint="99"/>
          <w:sz w:val="32"/>
          <w:szCs w:val="32"/>
          <w:lang w:bidi="ar-EG"/>
        </w:rPr>
      </w:pPr>
    </w:p>
    <w:p w:rsidR="00A46B25" w:rsidRDefault="00A46B25" w:rsidP="00A46B25">
      <w:pPr>
        <w:spacing w:after="0" w:line="200" w:lineRule="exact"/>
        <w:rPr>
          <w:b/>
          <w:bCs/>
          <w:color w:val="548DD4" w:themeColor="text2" w:themeTint="99"/>
          <w:sz w:val="32"/>
          <w:szCs w:val="32"/>
          <w:lang w:bidi="ar-EG"/>
        </w:rPr>
      </w:pPr>
    </w:p>
    <w:p w:rsidR="00A46B25" w:rsidRDefault="00A46B25" w:rsidP="00A46B25">
      <w:pPr>
        <w:spacing w:after="0" w:line="200" w:lineRule="exact"/>
        <w:rPr>
          <w:b/>
          <w:bCs/>
          <w:color w:val="548DD4" w:themeColor="text2" w:themeTint="99"/>
          <w:sz w:val="32"/>
          <w:szCs w:val="32"/>
          <w:lang w:bidi="ar-EG"/>
        </w:rPr>
      </w:pPr>
    </w:p>
    <w:p w:rsidR="00A46B25" w:rsidRDefault="00A46B25" w:rsidP="00A46B25">
      <w:pPr>
        <w:spacing w:after="0" w:line="200" w:lineRule="exact"/>
        <w:rPr>
          <w:b/>
          <w:bCs/>
          <w:color w:val="548DD4" w:themeColor="text2" w:themeTint="99"/>
          <w:sz w:val="32"/>
          <w:szCs w:val="32"/>
          <w:lang w:bidi="ar-EG"/>
        </w:rPr>
      </w:pPr>
    </w:p>
    <w:p w:rsidR="00A46B25" w:rsidRDefault="00A46B25" w:rsidP="00A46B25">
      <w:pPr>
        <w:spacing w:after="0" w:line="200" w:lineRule="exact"/>
        <w:rPr>
          <w:b/>
          <w:bCs/>
          <w:color w:val="548DD4" w:themeColor="text2" w:themeTint="99"/>
          <w:sz w:val="32"/>
          <w:szCs w:val="32"/>
          <w:lang w:bidi="ar-EG"/>
        </w:rPr>
      </w:pPr>
    </w:p>
    <w:p w:rsidR="00A46B25" w:rsidRDefault="00A46B25" w:rsidP="00A46B25">
      <w:pPr>
        <w:spacing w:after="0" w:line="200" w:lineRule="exact"/>
        <w:rPr>
          <w:b/>
          <w:bCs/>
          <w:color w:val="548DD4" w:themeColor="text2" w:themeTint="99"/>
          <w:sz w:val="32"/>
          <w:szCs w:val="32"/>
          <w:lang w:bidi="ar-EG"/>
        </w:rPr>
      </w:pPr>
    </w:p>
    <w:p w:rsidR="00A46B25" w:rsidRDefault="00A46B25" w:rsidP="00A46B25">
      <w:pPr>
        <w:spacing w:after="0" w:line="200" w:lineRule="exact"/>
        <w:rPr>
          <w:b/>
          <w:bCs/>
          <w:color w:val="548DD4" w:themeColor="text2" w:themeTint="99"/>
          <w:sz w:val="32"/>
          <w:szCs w:val="32"/>
          <w:lang w:bidi="ar-EG"/>
        </w:rPr>
      </w:pPr>
    </w:p>
    <w:p w:rsidR="00A46B25" w:rsidRPr="00E71BAF" w:rsidRDefault="00A46B25" w:rsidP="00A46B25">
      <w:pPr>
        <w:spacing w:after="0" w:line="240" w:lineRule="auto"/>
        <w:jc w:val="right"/>
        <w:rPr>
          <w:b/>
          <w:bCs/>
          <w:color w:val="FF0000"/>
          <w:sz w:val="32"/>
          <w:szCs w:val="32"/>
          <w:lang w:bidi="ar-EG"/>
        </w:rPr>
      </w:pPr>
      <w:r w:rsidRPr="00E71BAF">
        <w:rPr>
          <w:b/>
          <w:bCs/>
          <w:color w:val="FF0000"/>
          <w:sz w:val="32"/>
          <w:szCs w:val="32"/>
          <w:lang w:bidi="ar-EG"/>
        </w:rPr>
        <w:t>GC - MS</w:t>
      </w:r>
    </w:p>
    <w:p w:rsidR="00A46B25" w:rsidRPr="002C5EFD" w:rsidRDefault="00A46B25" w:rsidP="00A46B25">
      <w:pPr>
        <w:spacing w:after="0"/>
        <w:jc w:val="both"/>
        <w:rPr>
          <w:b/>
          <w:bCs/>
          <w:sz w:val="20"/>
          <w:szCs w:val="20"/>
          <w:lang w:bidi="ar-EG"/>
        </w:rPr>
      </w:pPr>
      <w:r w:rsidRPr="002C5EFD">
        <w:rPr>
          <w:b/>
          <w:bCs/>
          <w:sz w:val="20"/>
          <w:szCs w:val="20"/>
          <w:lang w:bidi="ar-EG"/>
        </w:rPr>
        <w:t xml:space="preserve">GC system 7890A/5975C Inert MS with triple Axis Detector - Agilent Technologies </w:t>
      </w:r>
    </w:p>
    <w:p w:rsidR="00A46B25" w:rsidRDefault="00A46B25" w:rsidP="00A46B25">
      <w:pPr>
        <w:spacing w:after="0"/>
        <w:jc w:val="both"/>
        <w:rPr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2733261" cy="1123121"/>
            <wp:effectExtent l="190500" t="190500" r="162560" b="172720"/>
            <wp:docPr id="2" name="Picture 2" descr="D:\المعمل المركزي\صور الاجهزة\20140603_14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المعمل المركزي\صور الاجهزة\20140603_1455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61" cy="1123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6B25" w:rsidRPr="00D75732" w:rsidRDefault="00A46B25" w:rsidP="00A46B25">
      <w:pPr>
        <w:spacing w:after="120"/>
        <w:jc w:val="both"/>
        <w:rPr>
          <w:b/>
          <w:bCs/>
          <w:lang w:bidi="ar-EG"/>
        </w:rPr>
      </w:pPr>
      <w:r w:rsidRPr="00D75732">
        <w:rPr>
          <w:b/>
          <w:bCs/>
          <w:sz w:val="24"/>
          <w:szCs w:val="24"/>
          <w:lang w:bidi="ar-EG"/>
        </w:rPr>
        <w:t xml:space="preserve">GC-MS is </w:t>
      </w:r>
      <w:r w:rsidRPr="00D75732">
        <w:rPr>
          <w:b/>
          <w:bCs/>
          <w:sz w:val="24"/>
          <w:szCs w:val="24"/>
          <w:lang w:val="en-GB" w:bidi="ar-EG"/>
        </w:rPr>
        <w:t xml:space="preserve">an analytical method used for separation and analysis of the compounds that can be vaporized without decomposition. It is combined with mass spectroscopy to identify different substances within a sample. </w:t>
      </w:r>
    </w:p>
    <w:p w:rsidR="00A46B25" w:rsidRPr="00E71BAF" w:rsidRDefault="00A46B25" w:rsidP="00A46B25">
      <w:pPr>
        <w:spacing w:after="0" w:line="240" w:lineRule="auto"/>
        <w:jc w:val="right"/>
        <w:rPr>
          <w:b/>
          <w:bCs/>
          <w:color w:val="FF0000"/>
          <w:sz w:val="32"/>
          <w:szCs w:val="32"/>
          <w:lang w:bidi="ar-EG"/>
        </w:rPr>
      </w:pPr>
      <w:r w:rsidRPr="00E71BAF">
        <w:rPr>
          <w:b/>
          <w:bCs/>
          <w:color w:val="FF0000"/>
          <w:sz w:val="32"/>
          <w:szCs w:val="32"/>
          <w:lang w:bidi="ar-EG"/>
        </w:rPr>
        <w:t xml:space="preserve">HPLC </w:t>
      </w:r>
      <w:r>
        <w:rPr>
          <w:b/>
          <w:bCs/>
          <w:color w:val="FF0000"/>
          <w:sz w:val="32"/>
          <w:szCs w:val="32"/>
          <w:lang w:bidi="ar-EG"/>
        </w:rPr>
        <w:t>–</w:t>
      </w:r>
      <w:r w:rsidRPr="00E71BAF">
        <w:rPr>
          <w:b/>
          <w:bCs/>
          <w:color w:val="FF0000"/>
          <w:sz w:val="32"/>
          <w:szCs w:val="32"/>
          <w:lang w:bidi="ar-EG"/>
        </w:rPr>
        <w:t xml:space="preserve"> MS</w:t>
      </w:r>
    </w:p>
    <w:p w:rsidR="00A46B25" w:rsidRPr="002C5EFD" w:rsidRDefault="00A46B25" w:rsidP="00A46B25">
      <w:pPr>
        <w:spacing w:after="0" w:line="240" w:lineRule="auto"/>
        <w:jc w:val="center"/>
        <w:rPr>
          <w:sz w:val="20"/>
          <w:szCs w:val="20"/>
          <w:rtl/>
          <w:lang w:bidi="ar-EG"/>
        </w:rPr>
      </w:pPr>
      <w:r w:rsidRPr="002C5EFD">
        <w:rPr>
          <w:rFonts w:cs="Arial"/>
          <w:b/>
          <w:bCs/>
          <w:sz w:val="20"/>
          <w:szCs w:val="20"/>
          <w:lang w:bidi="ar-EG"/>
        </w:rPr>
        <w:t xml:space="preserve">Agilent Technologies    </w:t>
      </w:r>
      <w:r w:rsidRPr="002C5EFD">
        <w:rPr>
          <w:b/>
          <w:bCs/>
          <w:sz w:val="20"/>
          <w:szCs w:val="20"/>
          <w:lang w:bidi="ar-EG"/>
        </w:rPr>
        <w:t>Infinity 1260</w:t>
      </w:r>
      <w:r w:rsidRPr="002C5EFD">
        <w:rPr>
          <w:rFonts w:cs="Arial"/>
          <w:noProof/>
          <w:sz w:val="20"/>
          <w:szCs w:val="20"/>
          <w:rtl/>
        </w:rPr>
        <w:drawing>
          <wp:inline distT="0" distB="0" distL="0" distR="0">
            <wp:extent cx="2802785" cy="1093304"/>
            <wp:effectExtent l="190500" t="190500" r="169545" b="164465"/>
            <wp:docPr id="12" name="Picture 12" descr="D:\المعمل المركزي\صور الاجهزة\20140603_14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المعمل المركزي\صور الاجهزة\20140603_1453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31" cy="1094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6B25" w:rsidRPr="00D75732" w:rsidRDefault="00A46B25" w:rsidP="00A46B25">
      <w:pPr>
        <w:spacing w:after="120"/>
        <w:jc w:val="both"/>
        <w:rPr>
          <w:b/>
          <w:bCs/>
          <w:sz w:val="24"/>
          <w:szCs w:val="24"/>
          <w:lang w:bidi="ar-EG"/>
        </w:rPr>
      </w:pPr>
      <w:r w:rsidRPr="00D75732">
        <w:rPr>
          <w:b/>
          <w:bCs/>
          <w:sz w:val="24"/>
          <w:szCs w:val="24"/>
          <w:lang w:bidi="ar-EG"/>
        </w:rPr>
        <w:t xml:space="preserve">HPLC-MS is an analytical technique used for separation of compounds that are thermally unstable and exhibit high polarity. It is combined with mass spectroscopy to identify different components within a sample. </w:t>
      </w:r>
    </w:p>
    <w:p w:rsidR="00A46B25" w:rsidRDefault="00A46B25" w:rsidP="00A46B25">
      <w:pPr>
        <w:spacing w:after="0" w:line="240" w:lineRule="auto"/>
        <w:jc w:val="right"/>
        <w:rPr>
          <w:b/>
          <w:bCs/>
          <w:sz w:val="20"/>
          <w:szCs w:val="20"/>
          <w:lang w:bidi="ar-EG"/>
        </w:rPr>
      </w:pPr>
    </w:p>
    <w:p w:rsidR="00A46B25" w:rsidRDefault="00A46B25" w:rsidP="00A46B25">
      <w:pPr>
        <w:spacing w:after="0" w:line="240" w:lineRule="auto"/>
        <w:jc w:val="right"/>
        <w:rPr>
          <w:b/>
          <w:bCs/>
          <w:sz w:val="20"/>
          <w:szCs w:val="20"/>
          <w:lang w:bidi="ar-EG"/>
        </w:rPr>
      </w:pPr>
    </w:p>
    <w:p w:rsidR="00A46B25" w:rsidRDefault="00A46B25" w:rsidP="00A46B25">
      <w:pPr>
        <w:spacing w:after="0" w:line="240" w:lineRule="auto"/>
        <w:jc w:val="right"/>
        <w:rPr>
          <w:b/>
          <w:bCs/>
          <w:sz w:val="20"/>
          <w:szCs w:val="20"/>
          <w:lang w:bidi="ar-EG"/>
        </w:rPr>
      </w:pPr>
    </w:p>
    <w:p w:rsidR="00A46B25" w:rsidRPr="000E3432" w:rsidRDefault="00A46B25" w:rsidP="00A46B25">
      <w:pPr>
        <w:spacing w:after="0" w:line="240" w:lineRule="auto"/>
        <w:jc w:val="right"/>
        <w:rPr>
          <w:b/>
          <w:bCs/>
          <w:sz w:val="20"/>
          <w:szCs w:val="20"/>
          <w:lang w:bidi="ar-EG"/>
        </w:rPr>
      </w:pPr>
    </w:p>
    <w:p w:rsidR="00A46B25" w:rsidRDefault="00A46B25" w:rsidP="00A46B25">
      <w:pPr>
        <w:spacing w:after="0" w:line="240" w:lineRule="auto"/>
        <w:jc w:val="right"/>
        <w:rPr>
          <w:b/>
          <w:bCs/>
          <w:sz w:val="24"/>
          <w:szCs w:val="24"/>
          <w:lang w:bidi="ar-EG"/>
        </w:rPr>
      </w:pPr>
    </w:p>
    <w:p w:rsidR="00A46B25" w:rsidRPr="00D75732" w:rsidRDefault="00A46B25" w:rsidP="00A46B25">
      <w:pPr>
        <w:spacing w:after="0" w:line="240" w:lineRule="auto"/>
        <w:jc w:val="right"/>
        <w:rPr>
          <w:b/>
          <w:bCs/>
          <w:color w:val="FF0000"/>
          <w:sz w:val="4"/>
          <w:szCs w:val="4"/>
          <w:lang w:bidi="ar-EG"/>
        </w:rPr>
      </w:pPr>
    </w:p>
    <w:p w:rsidR="00A46B25" w:rsidRDefault="00A46B25" w:rsidP="00A46B25">
      <w:pPr>
        <w:spacing w:after="0" w:line="240" w:lineRule="auto"/>
        <w:jc w:val="right"/>
        <w:rPr>
          <w:b/>
          <w:bCs/>
          <w:color w:val="FF0000"/>
          <w:sz w:val="32"/>
          <w:szCs w:val="32"/>
          <w:lang w:bidi="ar-EG"/>
        </w:rPr>
      </w:pPr>
      <w:r w:rsidRPr="00181988">
        <w:rPr>
          <w:b/>
          <w:bCs/>
          <w:color w:val="FF0000"/>
          <w:sz w:val="32"/>
          <w:szCs w:val="32"/>
          <w:lang w:bidi="ar-EG"/>
        </w:rPr>
        <w:t>Atomic absorption spectroscopy</w:t>
      </w:r>
    </w:p>
    <w:p w:rsidR="00A46B25" w:rsidRPr="00D75732" w:rsidRDefault="00A46B25" w:rsidP="00A46B25">
      <w:pPr>
        <w:spacing w:after="0" w:line="240" w:lineRule="auto"/>
        <w:jc w:val="right"/>
        <w:rPr>
          <w:b/>
          <w:bCs/>
          <w:color w:val="FF0000"/>
          <w:sz w:val="18"/>
          <w:szCs w:val="18"/>
          <w:lang w:bidi="ar-EG"/>
        </w:rPr>
      </w:pPr>
    </w:p>
    <w:p w:rsidR="00A46B25" w:rsidRPr="002C5EFD" w:rsidRDefault="00A46B25" w:rsidP="00A46B25">
      <w:pPr>
        <w:spacing w:after="0"/>
        <w:jc w:val="both"/>
        <w:rPr>
          <w:b/>
          <w:bCs/>
          <w:sz w:val="20"/>
          <w:szCs w:val="20"/>
          <w:lang w:bidi="ar-EG"/>
        </w:rPr>
      </w:pPr>
      <w:r w:rsidRPr="002C5EFD">
        <w:rPr>
          <w:b/>
          <w:bCs/>
          <w:sz w:val="20"/>
          <w:szCs w:val="20"/>
          <w:lang w:bidi="ar-EG"/>
        </w:rPr>
        <w:t>Model: 200 series AA Agilent Technologies</w:t>
      </w:r>
    </w:p>
    <w:p w:rsidR="00A46B25" w:rsidRDefault="00A46B25" w:rsidP="00A46B25">
      <w:pPr>
        <w:spacing w:after="0"/>
        <w:rPr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2713047" cy="1204546"/>
            <wp:effectExtent l="190500" t="190500" r="182880" b="186690"/>
            <wp:docPr id="6" name="Picture 6" descr="D:\المعمل المركزي\صور الاجهزة\20140603_14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معمل المركزي\صور الاجهزة\20140603_1457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29" cy="12148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6B25" w:rsidRDefault="00A46B25" w:rsidP="00A46B25">
      <w:pPr>
        <w:spacing w:after="0" w:line="240" w:lineRule="auto"/>
        <w:jc w:val="both"/>
        <w:rPr>
          <w:b/>
          <w:bCs/>
        </w:rPr>
      </w:pPr>
      <w:r w:rsidRPr="00D75732">
        <w:rPr>
          <w:b/>
          <w:bCs/>
          <w:sz w:val="24"/>
          <w:szCs w:val="24"/>
          <w:lang w:val="en-GB" w:bidi="ar-EG"/>
        </w:rPr>
        <w:t>It is used to identify the presence and the accurate concentration of substances in ppm and ppb by analyzing the spectrum produced when a substance is vaporized and absorbs certain frequencies of light.</w:t>
      </w:r>
    </w:p>
    <w:p w:rsidR="00A46B25" w:rsidRPr="002C5EFD" w:rsidRDefault="00A46B25" w:rsidP="00A46B25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A46B25" w:rsidRPr="00E71BAF" w:rsidRDefault="00A46B25" w:rsidP="00A46B25">
      <w:pPr>
        <w:spacing w:after="0" w:line="240" w:lineRule="auto"/>
        <w:jc w:val="right"/>
        <w:rPr>
          <w:b/>
          <w:bCs/>
          <w:color w:val="FF0000"/>
          <w:sz w:val="32"/>
          <w:szCs w:val="32"/>
          <w:lang w:bidi="ar-EG"/>
        </w:rPr>
      </w:pPr>
      <w:r w:rsidRPr="00E71BAF">
        <w:rPr>
          <w:b/>
          <w:bCs/>
          <w:color w:val="FF0000"/>
          <w:sz w:val="32"/>
          <w:szCs w:val="32"/>
          <w:lang w:bidi="ar-EG"/>
        </w:rPr>
        <w:t>FT-IR and FT-Raman</w:t>
      </w:r>
    </w:p>
    <w:p w:rsidR="00A46B25" w:rsidRDefault="00A46B25" w:rsidP="00A46B25">
      <w:pPr>
        <w:spacing w:after="0" w:line="240" w:lineRule="auto"/>
        <w:jc w:val="right"/>
        <w:rPr>
          <w:rtl/>
          <w:lang w:bidi="ar-EG"/>
        </w:rPr>
      </w:pPr>
      <w:r w:rsidRPr="002C5EFD">
        <w:rPr>
          <w:b/>
          <w:bCs/>
          <w:sz w:val="20"/>
          <w:szCs w:val="20"/>
          <w:lang w:bidi="ar-EG"/>
        </w:rPr>
        <w:t>VERTEX 70 FT-IR spectrometer coupled to a RAM II FT-Raman module .</w:t>
      </w:r>
      <w:r>
        <w:rPr>
          <w:rFonts w:cs="Arial"/>
          <w:noProof/>
          <w:rtl/>
        </w:rPr>
        <w:drawing>
          <wp:inline distT="0" distB="0" distL="0" distR="0">
            <wp:extent cx="2738379" cy="1186962"/>
            <wp:effectExtent l="190500" t="190500" r="195580" b="184785"/>
            <wp:docPr id="3" name="Picture 3" descr="D:\المعمل المركزي\صور الاجهزة\20140603_14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المعمل المركزي\صور الاجهزة\20140603_1453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29" cy="1194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6B25" w:rsidRDefault="00A46B25" w:rsidP="00A46B25">
      <w:pPr>
        <w:spacing w:after="0" w:line="300" w:lineRule="exact"/>
        <w:jc w:val="both"/>
        <w:rPr>
          <w:b/>
          <w:bCs/>
          <w:lang w:val="en-GB" w:bidi="ar-EG"/>
        </w:rPr>
      </w:pPr>
      <w:r w:rsidRPr="00157573">
        <w:rPr>
          <w:b/>
          <w:bCs/>
          <w:lang w:val="en-GB" w:bidi="ar-EG"/>
        </w:rPr>
        <w:t xml:space="preserve">Infrared spectroscopy is used to identify the presence of certain functional groups in a molecule. Raman is complementary to IR which measure compounds which IR inactive such as inorganic compounds which have no dipole moments. </w:t>
      </w: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690B3B" w:rsidRDefault="00690B3B" w:rsidP="00A46B25">
      <w:pPr>
        <w:spacing w:after="0" w:line="300" w:lineRule="exact"/>
        <w:jc w:val="both"/>
        <w:rPr>
          <w:b/>
          <w:bCs/>
          <w:lang w:val="en-GB" w:bidi="ar-EG"/>
        </w:rPr>
      </w:pPr>
    </w:p>
    <w:p w:rsidR="00A46B25" w:rsidRDefault="00A46B25"/>
    <w:sectPr w:rsidR="00A46B25" w:rsidSect="00A46B25">
      <w:pgSz w:w="16838" w:h="11906" w:orient="landscape" w:code="9"/>
      <w:pgMar w:top="274" w:right="677" w:bottom="270" w:left="806" w:header="576" w:footer="57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1E" w:rsidRDefault="0061581E" w:rsidP="00690B3B">
      <w:pPr>
        <w:spacing w:after="0" w:line="240" w:lineRule="auto"/>
      </w:pPr>
      <w:r>
        <w:separator/>
      </w:r>
    </w:p>
  </w:endnote>
  <w:endnote w:type="continuationSeparator" w:id="1">
    <w:p w:rsidR="0061581E" w:rsidRDefault="0061581E" w:rsidP="0069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1E" w:rsidRDefault="0061581E" w:rsidP="00690B3B">
      <w:pPr>
        <w:spacing w:after="0" w:line="240" w:lineRule="auto"/>
      </w:pPr>
      <w:r>
        <w:separator/>
      </w:r>
    </w:p>
  </w:footnote>
  <w:footnote w:type="continuationSeparator" w:id="1">
    <w:p w:rsidR="0061581E" w:rsidRDefault="0061581E" w:rsidP="00690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B25"/>
    <w:rsid w:val="000C7CD5"/>
    <w:rsid w:val="0061581E"/>
    <w:rsid w:val="00690B3B"/>
    <w:rsid w:val="00A4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B2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B25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0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B3B"/>
  </w:style>
  <w:style w:type="paragraph" w:styleId="Footer">
    <w:name w:val="footer"/>
    <w:basedOn w:val="Normal"/>
    <w:link w:val="FooterChar"/>
    <w:uiPriority w:val="99"/>
    <w:semiHidden/>
    <w:unhideWhenUsed/>
    <w:rsid w:val="00690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NANOLAB</dc:creator>
  <cp:keywords/>
  <dc:description/>
  <cp:lastModifiedBy>NANOLAB</cp:lastModifiedBy>
  <cp:revision>3</cp:revision>
  <dcterms:created xsi:type="dcterms:W3CDTF">2018-05-01T11:08:00Z</dcterms:created>
  <dcterms:modified xsi:type="dcterms:W3CDTF">2018-05-01T11:37:00Z</dcterms:modified>
</cp:coreProperties>
</file>