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C7" w:rsidRDefault="00DE1AC7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proofErr w:type="spellStart"/>
      <w:r w:rsidRPr="00351A2C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دراسه</w:t>
      </w:r>
      <w:proofErr w:type="spellEnd"/>
      <w:r w:rsidRPr="00351A2C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صيدليه على حمض </w:t>
      </w:r>
      <w:proofErr w:type="spellStart"/>
      <w:r w:rsidRPr="00351A2C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الثيوكتيك</w:t>
      </w:r>
      <w:proofErr w:type="spellEnd"/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>رساله</w:t>
      </w:r>
      <w:proofErr w:type="gramEnd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مقدمة من</w:t>
      </w: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الصيدلانيه</w:t>
      </w:r>
      <w:proofErr w:type="spellEnd"/>
      <w:r w:rsidRPr="00351A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/ </w:t>
      </w: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أمانى</w:t>
      </w:r>
      <w:proofErr w:type="spellEnd"/>
      <w:r w:rsidRPr="00351A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محمد عبد المعطى </w:t>
      </w: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السيسى</w:t>
      </w:r>
      <w:proofErr w:type="spellEnd"/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للحصول على درجة الماجستير </w:t>
      </w:r>
      <w:proofErr w:type="spellStart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العلوم </w:t>
      </w:r>
      <w:proofErr w:type="spellStart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>الصيدليه</w:t>
      </w:r>
      <w:proofErr w:type="spellEnd"/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>(صيدلانيات)</w:t>
      </w: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تحت اشراف </w:t>
      </w: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أ.د</w:t>
      </w:r>
      <w:proofErr w:type="spellEnd"/>
      <w:r w:rsidRPr="00351A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/ أحمد عبد </w:t>
      </w: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البارى</w:t>
      </w:r>
      <w:proofErr w:type="spellEnd"/>
      <w:r w:rsidRPr="00351A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عبد الرحمن</w:t>
      </w: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أستاذ الصيدلانيات </w:t>
      </w:r>
      <w:proofErr w:type="spellStart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>والصيدله</w:t>
      </w:r>
      <w:proofErr w:type="spellEnd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>الصناعيه</w:t>
      </w:r>
      <w:proofErr w:type="spellEnd"/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كلية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الصيدله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-جامعة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القاهره</w:t>
      </w:r>
      <w:proofErr w:type="spellEnd"/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وعميد كلية </w:t>
      </w:r>
      <w:proofErr w:type="spellStart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>الصيدله</w:t>
      </w:r>
      <w:proofErr w:type="spellEnd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جامعة </w:t>
      </w:r>
      <w:proofErr w:type="spellStart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>القاهره</w:t>
      </w:r>
      <w:proofErr w:type="spellEnd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وجامعة بنى سويف السابق</w:t>
      </w: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أ.د</w:t>
      </w:r>
      <w:proofErr w:type="spellEnd"/>
      <w:r w:rsidRPr="00351A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/ أيمان ابراهيم سليمان</w:t>
      </w: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أستاذ الصيدلانيات </w:t>
      </w:r>
      <w:proofErr w:type="spellStart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>والصيدله</w:t>
      </w:r>
      <w:proofErr w:type="spellEnd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>الصناعيه</w:t>
      </w:r>
      <w:proofErr w:type="spellEnd"/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كلية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الصيدله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-جامعة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القاهره</w:t>
      </w:r>
      <w:proofErr w:type="spellEnd"/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قسم الصيدلانيات </w:t>
      </w:r>
      <w:proofErr w:type="spellStart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>والصيدله</w:t>
      </w:r>
      <w:proofErr w:type="spellEnd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32"/>
          <w:szCs w:val="32"/>
          <w:rtl/>
        </w:rPr>
        <w:t>الصناعيه</w:t>
      </w:r>
      <w:proofErr w:type="spellEnd"/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كلية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الصيدله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جامعة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القاهره</w:t>
      </w:r>
      <w:proofErr w:type="spellEnd"/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2009</w:t>
      </w: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</w:p>
    <w:p w:rsidR="00DE1AC7" w:rsidRPr="00351A2C" w:rsidRDefault="00DE1AC7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</w:p>
    <w:p w:rsidR="00DE1AC7" w:rsidRDefault="00DE1AC7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DE1AC7" w:rsidRDefault="00DE1AC7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DE1AC7" w:rsidRDefault="00DE1AC7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DE1AC7" w:rsidRDefault="00DE1AC7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DE1AC7" w:rsidRDefault="00DE1AC7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DE1AC7" w:rsidRDefault="00DE1AC7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DE1AC7" w:rsidRDefault="00DE1AC7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DE1AC7" w:rsidRDefault="00DE1AC7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lastRenderedPageBreak/>
        <w:t>ا</w:t>
      </w:r>
      <w:r w:rsidR="00351A2C" w:rsidRPr="00351A2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لملخص </w:t>
      </w:r>
      <w:proofErr w:type="spellStart"/>
      <w:r w:rsidR="00351A2C" w:rsidRPr="00351A2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العربى</w:t>
      </w:r>
      <w:proofErr w:type="spellEnd"/>
    </w:p>
    <w:p w:rsidR="00DE1AC7" w:rsidRDefault="00DE1AC7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351A2C" w:rsidRDefault="00DE1AC7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spell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د</w:t>
      </w:r>
      <w:r w:rsidR="00351A2C" w:rsidRPr="00351A2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راسه</w:t>
      </w:r>
      <w:proofErr w:type="spellEnd"/>
      <w:r w:rsidR="00351A2C" w:rsidRPr="00351A2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صيدليه على حمض </w:t>
      </w:r>
      <w:proofErr w:type="spellStart"/>
      <w:r w:rsidR="00351A2C" w:rsidRPr="00351A2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الثيوكتيك</w:t>
      </w:r>
      <w:proofErr w:type="spellEnd"/>
    </w:p>
    <w:p w:rsidR="00DE1AC7" w:rsidRPr="00351A2C" w:rsidRDefault="00DE1AC7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ان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من أكثر العقارات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المعروفه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تستخدم لعلاج التهاب الأعصاب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الطرفى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والذاتى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المصاحب لمرض السكرى وهو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من  </w:t>
      </w:r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>مضادات</w:t>
      </w:r>
      <w:proofErr w:type="gramEnd"/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الأكسدة الطبيعية التي تحييد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الجزيئات</w:t>
      </w:r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الحرة بما فيها الاوكسجين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والمعادن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المتأينه</w:t>
      </w:r>
      <w:proofErr w:type="spellEnd"/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يمكن تناوله عن طريق الفم و يمتص </w:t>
      </w:r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 xml:space="preserve">عبر المعدة والأمعاء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ثم يختزل الى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ثنائى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هيدروجين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؛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>ل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اي</w:t>
      </w:r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>تراكم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هذا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العقار </w:t>
      </w:r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</w:t>
      </w:r>
      <w:proofErr w:type="gramEnd"/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الأنسجة إلى درجة كبيرة ، </w:t>
      </w:r>
      <w:proofErr w:type="spellStart"/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>ول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اي</w:t>
      </w:r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>ظهر</w:t>
      </w:r>
      <w:proofErr w:type="spellEnd"/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 xml:space="preserve"> أي سم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يه </w:t>
      </w:r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عندما يؤخذ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الجرعات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الدوائيه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أو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الوقائيه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(</w:t>
      </w:r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>&lt;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1500 مجم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اليوم ). ويعد التوافر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البيولوجى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للعقار قليل لأنه لا يتجاوز نسبة 30 %.                   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من المعروف ان انسيابية الدواء من أحد العوامل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المؤثره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تطوير صناعة الدواء. وعدم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انسيابيتها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يمكن ان يسبب مشاكل خطيره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عملية تصنيع الأشكال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الصيدليه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 ان انسيابية المسحوق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معظم الأحيان ذات صله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وثيقه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بعمليات تطوير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الصياغه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 انسيابية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سيئه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جدا؛ لهذا استهدفت هذه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الدراسه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تحسين انسيابية هذا العقار ومحاولة التغلب على مشاكله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الفيزيائيه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وكذلك محاولة صياغته على هيئة أقراص بتكلفه اقل واتاحه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حيويه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أكثر باستخدام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الصواغات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المتوافقه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مع العقار.                                                                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وقد قسمت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الدراسه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هذه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الرساله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الى أربعة فصول: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الفصل الاول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: دراسة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ماقبل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الصياغه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لحمض </w:t>
      </w:r>
      <w:proofErr w:type="spellStart"/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.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الفصل </w:t>
      </w:r>
      <w:proofErr w:type="spellStart"/>
      <w:proofErr w:type="gramStart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الثانى</w:t>
      </w:r>
      <w:proofErr w:type="spellEnd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: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صياغة وتقييم أقراص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الفصل الثالث: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دراسة الثبات لأقراص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الفصل </w:t>
      </w:r>
      <w:proofErr w:type="spellStart"/>
      <w:proofErr w:type="gramStart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الرابع: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التكافؤ</w:t>
      </w:r>
      <w:proofErr w:type="spellEnd"/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الحيوى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لأقراص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المختاره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الفصل الاول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دراسة </w:t>
      </w: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ماقبل</w:t>
      </w:r>
      <w:proofErr w:type="spellEnd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الصياغه</w:t>
      </w:r>
      <w:proofErr w:type="spellEnd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لحمض </w:t>
      </w: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الثيوكتيك</w:t>
      </w:r>
      <w:proofErr w:type="spellEnd"/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وتشمل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الدراسه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هذا الفصل: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أ- دراسة التوافق بين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و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الصواغات</w:t>
      </w:r>
      <w:proofErr w:type="spellEnd"/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المختلفه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المستخدمه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صياغة الاقراص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تم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هذا الفصل تحضير مخاليط من العقار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والصواغات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التاليه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:(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أفيسيل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101,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التلك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، هلام </w:t>
      </w:r>
      <w:proofErr w:type="spellStart"/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السيليكا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,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نشا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جليكولات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الصوديوم،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أكديسول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،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التابليتوز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،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ستيرات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الماغنيسيوم، نشا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الذره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،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بولوكزومير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188، فوسفات الكالسيوم ثنائية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القاعده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، لاكتوز مجفف بالرش, لاكتوز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احادى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الهيدرات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،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نسب  (1:1) وقد وضعت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أفران عند درجات حراره 40 و 50 درجه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مئويه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لمدة أسبوعين. وتم اجراء الفحوصات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التاليه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عليها: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 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1- فحص الصفات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الطبيعيه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للعينات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: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وقد لوحظ عدم تغير اللون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كل العينات ماعدا تلك 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المخلوطه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مع هلام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السيليكا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والتلك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حيث لوحظ تغير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اللون من الابيض  الى الأصفر وانصهار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العينه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المخلوطه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مع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البولوكزومير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عند درجة 50 درجة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مئويه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                   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2- المسح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التفاضلى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الحرارى :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تم تعريض المخاليط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تم تخزينها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أفران ذات حراره 50 درجه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مئويه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بالاضافه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الى عينات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الصواغات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المفرده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وكذلك العقار مفرد وعينات من المخاليط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المحضره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حديثا للمسح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التفاضلى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الحرارى وتم تسجيل وتحليل الشكل الحرارى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البيانى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الناتج للعينات وقد أوضح المسح الحرارى لحمض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المفرد عدم التغير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ذروة المنحنى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الحراى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المميز للعقار بمفرده وكذلك عدم التغير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كل من المخاليط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المحضره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حديثا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والمخزنه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للعقار مع كل الاضافات. اما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حالة مخاليط العقار مع كل من </w:t>
      </w:r>
      <w:proofErr w:type="spellStart"/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الافيسيل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,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هلام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السيليكا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والبولوكزمير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فقد كان من الصعب  الحصول على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أى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نتيجه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من هذه المنحنيات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 xml:space="preserve">لوجود تداخل بين مكان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الذروه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الخاص بالعقار مع احدى اماكن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الذروه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الخاصه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بمنحنى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الصواغات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مفرده.                                                                               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3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-الفحص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بالأشعه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تحت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الحمراء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فقد أظهرت النتائج عدم التغيير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النطاق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الموجى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المميز للعقار، كذلك لم يحدث تغير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النطاق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الموجى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للعقار عند خلطه مع جميع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الصواغات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ماعدا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حالة مخلوط العقار مع هلام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السيليكا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فقد لوحظ وجود تغيرات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مختلفه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النطاق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الموجى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للعقار مما يعنى وجود تداخل بين هذه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الصواغات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.  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4-كروماتوجرافيا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الطبقه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proofErr w:type="spellStart"/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الرقيقه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وقد اشارت نتائجها الى عدم تغير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351A2C">
        <w:rPr>
          <w:rFonts w:ascii="Times New Roman" w:eastAsia="Times New Roman" w:hAnsi="Times New Roman" w:cs="Times New Roman"/>
          <w:sz w:val="28"/>
          <w:szCs w:val="28"/>
          <w:vertAlign w:val="subscript"/>
        </w:rPr>
        <w:t>f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للعقار بمفرده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وبعد خلطه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بالصواغات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المختلفه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rtl/>
        </w:rPr>
      </w:pP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ب- تحسين انسيابية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وتقييمها عن طريق قياس زاوية الميل ومعامل كار ونسبة </w:t>
      </w:r>
      <w:proofErr w:type="spellStart"/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هوزنر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وقد تم تحسين انسيابية العقار بعدة طرق شملت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الاتى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1-التحبيب</w:t>
      </w:r>
      <w:r w:rsidRPr="00351A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(Granulation</w:t>
      </w:r>
      <w:proofErr w:type="gramStart"/>
      <w:r w:rsidRPr="00351A2C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:عن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طريق :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ا-التحبيب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الرطب</w:t>
      </w:r>
      <w:r w:rsidRPr="00351A2C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End"/>
      <w:r w:rsidRPr="00351A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Wet Granulation)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:باستخدام معجون نشا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الذره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الطازج كمادة رابطة وقد مرر الخليط خلال المنخل رقم 18 و 25 بعد تجفيفها. وقد اظهرت الحبيبات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الناتجه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انسيابيه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افضل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من انسيابية العقار مفردا. وقد وجد ان حبيبات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الصيغه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(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>(W9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أعطت أحسن النتائج.     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ب-التحبيب الجاف (</w:t>
      </w:r>
      <w:r w:rsidRPr="00351A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(Dry </w:t>
      </w:r>
      <w:proofErr w:type="gramStart"/>
      <w:r w:rsidRPr="00351A2C">
        <w:rPr>
          <w:rFonts w:ascii="Times New Roman" w:eastAsia="Times New Roman" w:hAnsi="Times New Roman" w:cs="Times New Roman"/>
          <w:sz w:val="28"/>
          <w:szCs w:val="28"/>
          <w:u w:val="single"/>
        </w:rPr>
        <w:t>Granulation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:عن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طرق كبس أقراص كبيره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(Slugs)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من خليط العقار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والصواغات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ثم اعادة  تكسيرها الى حبيبات وتمريرها خلال منخل رقم 25. وقد أظهرت الحبيبات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الناتجه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انسيابيه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ممتازه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بالنسبه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لانسيابية العقار؛ وقد أعطت حبيبات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الصيغه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(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351A2C">
        <w:rPr>
          <w:rFonts w:ascii="Times New Roman" w:eastAsia="Times New Roman" w:hAnsi="Times New Roman" w:cs="Times New Roman"/>
          <w:sz w:val="28"/>
          <w:szCs w:val="28"/>
        </w:rPr>
        <w:t>D2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أفضل النتائج.    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ج- التحبيب بالانصهار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(</w:t>
      </w:r>
      <w:r w:rsidRPr="00351A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proofErr w:type="gramEnd"/>
      <w:r w:rsidRPr="00351A2C">
        <w:rPr>
          <w:rFonts w:ascii="Times New Roman" w:eastAsia="Times New Roman" w:hAnsi="Times New Roman" w:cs="Times New Roman"/>
          <w:sz w:val="28"/>
          <w:szCs w:val="28"/>
          <w:u w:val="single"/>
        </w:rPr>
        <w:t>Melt Granulation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: عن طريق اذابة العقار مع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بولوكزمير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كماده رابطه؛ ثم تبريد الخليط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وتمريرهمن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منخل رقم .25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وقد اظهرت الحبيبات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الناتجه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انسيابيه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متوسطه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بالنسبه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لانسيابية العقار مفردا. وكان لحبيبات الصيغ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( 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51A2C">
        <w:rPr>
          <w:rFonts w:ascii="Times New Roman" w:eastAsia="Times New Roman" w:hAnsi="Times New Roman" w:cs="Times New Roman"/>
          <w:sz w:val="28"/>
          <w:szCs w:val="28"/>
        </w:rPr>
        <w:t>M1,M2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نتائج جيده.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2-التجفيف بالتجميد (</w:t>
      </w:r>
      <w:proofErr w:type="spellStart"/>
      <w:r w:rsidRPr="00351A2C">
        <w:rPr>
          <w:rFonts w:ascii="Times New Roman" w:eastAsia="Times New Roman" w:hAnsi="Times New Roman" w:cs="Times New Roman"/>
          <w:sz w:val="28"/>
          <w:szCs w:val="28"/>
          <w:u w:val="single"/>
        </w:rPr>
        <w:t>Lypholization</w:t>
      </w:r>
      <w:proofErr w:type="spellEnd"/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)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وذلك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بتجفيد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محلول من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الكحول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الايثيلى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ثم خلطه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بالصواغات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أظهرت توافق مع العقار وهى: لاكتوز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احادى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الهيدرات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, نشا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جليكولات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الصوديوم،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أكديسول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،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التابليتوز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،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ستيرات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الماغنيسيوم، نشا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الذره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، أفيسيل101  و لاكتوز مجفف بالرش. وقد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اظهرخليط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الصيغه</w:t>
      </w:r>
      <w:proofErr w:type="spellEnd"/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(S7)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أفضل انسيابيه.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3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-ترسيب المذيبات</w:t>
      </w:r>
      <w:r w:rsidRPr="00351A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(</w:t>
      </w:r>
      <w:r w:rsidRPr="00351A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(Solvent </w:t>
      </w:r>
      <w:proofErr w:type="gramStart"/>
      <w:r w:rsidRPr="00351A2C">
        <w:rPr>
          <w:rFonts w:ascii="Times New Roman" w:eastAsia="Times New Roman" w:hAnsi="Times New Roman" w:cs="Times New Roman"/>
          <w:sz w:val="28"/>
          <w:szCs w:val="28"/>
          <w:u w:val="single"/>
        </w:rPr>
        <w:t>Deposition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: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وذلك بترسيب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على حوامل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مختلفه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وهى : نشا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الذره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،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افيسيل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101 و لاكتوز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احادى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الهيدرات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بعد تبخير المذيب. وقد اظهر خليط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الصيغه</w:t>
      </w:r>
      <w:proofErr w:type="spellEnd"/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(A1)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أفضل النتائج.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الفصل </w:t>
      </w: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الثانى</w:t>
      </w:r>
      <w:proofErr w:type="spellEnd"/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صياغة وتقييم أقراص حمض </w:t>
      </w: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الثيوكتيك</w:t>
      </w:r>
      <w:proofErr w:type="spellEnd"/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اشتملت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الدراسه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هذا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الفصل :</w:t>
      </w:r>
      <w:proofErr w:type="gramEnd"/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1-صياغة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صورة اقراص باستخدام الكبس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المباشرلصيغ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الحبيبات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المختاره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من الفصل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الأول  وهى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W9, M2 ,D2 ,A1 ,S7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وقد تم استخدام كلا من نشا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جليكولات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الصوديوم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والأكديسول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كعامل مفتت للأقراص بنسبة 10% واحتوت كل الصيغ على 60% من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, 1% من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ستيرات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الماغنسيوم كعامل مانع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للأحتكاك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.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2-تقييم الاقراص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المحضره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: عن طريق تعيين انسيابية حبيبات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الصياغه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المحضره،الاختلاف</w:t>
      </w:r>
      <w:proofErr w:type="spellEnd"/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وزن الاقراص,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السمك،القطر،كمية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العقار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الاقراص, درجة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الصلابه،درجة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الهشاشه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، زمن التفتت, وقد لوحظ من نتائج هذه الاختبارات ان كل الصياغات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المحضره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لها خصائص جيده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ومقبوله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تتوافق مع متطلبات دستور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الادويه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الأمريكى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 وقد أظهرت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الصيغه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(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>(D2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أقل زمن تفتت (72 ثانيه).                                                                                                             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3-اختبار معدل اذابة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من صياغات الأقراص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المحضره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حديثا: وقد لوحظ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 xml:space="preserve">ان معدل ومدى اذابة العقار من الصياغات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المختلفه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كان أكثر من 85% بعد 45 دقيقه من كل الاقراص </w:t>
      </w:r>
      <w:proofErr w:type="spellStart"/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المحضره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ماعدا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صيغة الاقراص (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>M2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) 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كان معدل الذوبان 59% فقط.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وقد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أظهرالتحليل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الحركى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لبيانات معدل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الاذابه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الخاصه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بانطلاق العقار من جميع الصيغ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المحضره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وكذلك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الصيغه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التجاريه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ان معدل الذوبان يتبع معدلات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الدرجه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الصفريه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الفصل الثالث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دراسة الثبات لأقراص حمض </w:t>
      </w: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الثيوكتيك</w:t>
      </w:r>
      <w:proofErr w:type="spellEnd"/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تم اختيار اقراص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الصيغه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(D2)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والمحضره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عن طريق التحبيب الجاف واقراص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الصيغه</w:t>
      </w:r>
      <w:proofErr w:type="spellEnd"/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 (S7)   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والمحضره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بخلط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المجفف بالتجميد مع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الصواغات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المتوافقه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معه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لاخضاعهما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لدراسة الثبات المعجل حيث خزنت هذه الأقراص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افران عند درجة حراره 40,30 ,50 درجة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مئويه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لمدة ثلاثة شهور وتم تقييم الثبات عن طريق سحب عينات بانتظام طبقا لجدول زمنى محدد وفحصها بالنظر وكذلك تحليلها كيمائيا باستخدام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كروماتوجرافيا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السائل ذات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الكفاءه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العاليه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لتعيين نسبة العقار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الأقراص.                                                                                                 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وقد اسفرت نتائج الفحص عن عدم وجود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تغيير سواء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اللون او الشكل كما أوضحت النتائج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الخاصه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بالثبات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الكيمائى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للعقار ان نسبة العقار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جميع الصياغات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المخزونه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تقع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الحدود المسموح بها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دستور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الادويه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الامريكي وذلك حتى نهاية فترة التخزين وقد تبين ان معدل التكسير يتبع معادلات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الدرجه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الاولى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الحركيه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                                                                                        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الفصل الرابع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دراسة التكافؤ </w:t>
      </w: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الحيوى</w:t>
      </w:r>
      <w:proofErr w:type="spellEnd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للمستحضرات </w:t>
      </w:r>
      <w:proofErr w:type="spellStart"/>
      <w:r w:rsidRPr="00351A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المختاره</w:t>
      </w:r>
      <w:proofErr w:type="spellEnd"/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تم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هذا الفصل التكافؤ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الحيوى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لصيغ الأقراص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المختاره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وقد استخدمت الأقراص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التجاريه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المتوفره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السوق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المصرى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(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الثيوتاسيد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) كمستحضر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قياسى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للمقارنه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 وقد أجريت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الدراسه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على 6 متطوعين واستخدمت طريقة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كروماتوجرافيا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السائله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ذات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الكفاءه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العاليه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لتحليل العينات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المأخوذه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من المتطوعين على فترات زمنيه محدده. وقد تم تحليل النتائج احصائيا عند</w:t>
      </w:r>
      <w:r w:rsidRPr="00351A2C">
        <w:rPr>
          <w:rFonts w:ascii="Times New Roman" w:eastAsia="Times New Roman" w:hAnsi="Times New Roman" w:cs="Times New Roman"/>
          <w:sz w:val="28"/>
          <w:szCs w:val="28"/>
          <w:rtl/>
        </w:rPr>
        <w:t>α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=05. 0 حيث تبين وجود فروق بين الصيغ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المختاره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وأقراص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الثيوتاسيد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متوسط مساحة تحت المنحنى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والتى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تعد مؤشر على كمية الدواء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امتصت حيث كانت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المساحه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اكبر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حالة الاقراص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المحضره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كما بلغت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النسبه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المئويه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للاتاحه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الحيويه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للعقار من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الصيغه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>D2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والصيغه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رقم 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>S7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بالنسبه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لأقراص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الثيوتاسيد</w:t>
      </w:r>
      <w:proofErr w:type="spellEnd"/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96.95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102.9 % على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التوالى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351A2C" w:rsidRPr="00351A2C" w:rsidRDefault="00351A2C" w:rsidP="0035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مما تقدم يمكن استنتاج ان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الصيغه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المقترحه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رقم 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>(S7)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والتى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تحتوى على (300 مجم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المجفف بالتجميد، 50 مجم نشا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جليكولات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الصوديوم، 145 مجم </w:t>
      </w:r>
      <w:proofErr w:type="spellStart"/>
      <w:proofErr w:type="gram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التابليتوز</w:t>
      </w:r>
      <w:proofErr w:type="spellEnd"/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</w:t>
      </w:r>
      <w:proofErr w:type="gram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5 مجم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ستيرات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الماغنيسيوم)؛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والمحضره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عن طريق الكبس المباشر قد حققت الهدف المرجو وهو تحسين</w:t>
      </w:r>
      <w:r w:rsidRPr="0035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انسيابية حمض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الثيوكتيك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والتغلب على المشاكل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الفيزيائيه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للعقار وكذلك تحضيره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فى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صيغ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متوافقه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مع العقار بتكلفة انتاج أقل وثبات أعلى وكذلك اتاحه </w:t>
      </w:r>
      <w:proofErr w:type="spellStart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>حيويه</w:t>
      </w:r>
      <w:proofErr w:type="spellEnd"/>
      <w:r w:rsidRPr="00351A2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أفضل.</w:t>
      </w:r>
    </w:p>
    <w:p w:rsidR="00351A2C" w:rsidRPr="00351A2C" w:rsidRDefault="00351A2C" w:rsidP="00351A2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</w:p>
    <w:p w:rsidR="00351A2C" w:rsidRPr="00351A2C" w:rsidRDefault="00351A2C" w:rsidP="00351A2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</w:p>
    <w:p w:rsidR="00351A2C" w:rsidRPr="00351A2C" w:rsidRDefault="00351A2C" w:rsidP="00DE1AC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96"/>
          <w:szCs w:val="96"/>
        </w:rPr>
      </w:pPr>
      <w:bookmarkStart w:id="0" w:name="_GoBack"/>
      <w:bookmarkEnd w:id="0"/>
    </w:p>
    <w:p w:rsidR="00351A2C" w:rsidRPr="00351A2C" w:rsidRDefault="00351A2C" w:rsidP="00351A2C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790C" w:rsidRDefault="0017790C"/>
    <w:sectPr w:rsidR="0017790C" w:rsidSect="00351A2C">
      <w:pgSz w:w="11909" w:h="16834"/>
      <w:pgMar w:top="1440" w:right="2094" w:bottom="720" w:left="20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C6"/>
    <w:rsid w:val="0017790C"/>
    <w:rsid w:val="00351A2C"/>
    <w:rsid w:val="008867C6"/>
    <w:rsid w:val="00A7443F"/>
    <w:rsid w:val="00D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B3D55"/>
  <w15:chartTrackingRefBased/>
  <w15:docId w15:val="{19578CE6-FD35-4460-9629-C3ED7EB5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</dc:creator>
  <cp:keywords/>
  <dc:description/>
  <cp:lastModifiedBy>NUB</cp:lastModifiedBy>
  <cp:revision>4</cp:revision>
  <dcterms:created xsi:type="dcterms:W3CDTF">2018-11-20T18:50:00Z</dcterms:created>
  <dcterms:modified xsi:type="dcterms:W3CDTF">2018-11-20T18:53:00Z</dcterms:modified>
</cp:coreProperties>
</file>