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8B" w:rsidRDefault="0038328B" w:rsidP="00DF333F">
      <w:pPr>
        <w:tabs>
          <w:tab w:val="left" w:pos="567"/>
          <w:tab w:val="left" w:pos="250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720E7" w:rsidRPr="006B76A3" w:rsidRDefault="008720E7" w:rsidP="00C65678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714DE">
        <w:rPr>
          <w:rFonts w:ascii="Times New Roman" w:hAnsi="Times New Roman" w:cs="Times New Roman"/>
          <w:sz w:val="28"/>
          <w:szCs w:val="28"/>
        </w:rPr>
        <w:t xml:space="preserve">          The present study was designed to evaluate the</w:t>
      </w:r>
      <w:r w:rsidR="00662FF7">
        <w:rPr>
          <w:rFonts w:ascii="Times New Roman" w:hAnsi="Times New Roman" w:cs="Times New Roman"/>
          <w:sz w:val="28"/>
          <w:szCs w:val="28"/>
        </w:rPr>
        <w:t xml:space="preserve"> possible</w:t>
      </w:r>
      <w:r w:rsidRPr="00A714DE">
        <w:rPr>
          <w:rFonts w:ascii="Times New Roman" w:hAnsi="Times New Roman" w:cs="Times New Roman"/>
          <w:sz w:val="28"/>
          <w:szCs w:val="28"/>
        </w:rPr>
        <w:t xml:space="preserve"> hepatoprotective effect of certain antioxidants; for example, thymoquinone (TQ) and quercetin (QR) compared </w:t>
      </w:r>
      <w:r w:rsidR="00662FF7">
        <w:rPr>
          <w:rFonts w:ascii="Times New Roman" w:hAnsi="Times New Roman" w:cs="Times New Roman"/>
          <w:sz w:val="28"/>
          <w:szCs w:val="28"/>
        </w:rPr>
        <w:t>to</w:t>
      </w:r>
      <w:r w:rsidRPr="00A714DE">
        <w:rPr>
          <w:rFonts w:ascii="Times New Roman" w:hAnsi="Times New Roman" w:cs="Times New Roman"/>
          <w:sz w:val="28"/>
          <w:szCs w:val="28"/>
        </w:rPr>
        <w:t xml:space="preserve"> N-acetylcysteine (NAC) against hepatic </w:t>
      </w:r>
      <w:r w:rsidR="0002037E"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ischemia-reperfusion </w:t>
      </w:r>
      <w:r w:rsidR="0002037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>(</w:t>
      </w:r>
      <w:r w:rsidRPr="00A714DE">
        <w:rPr>
          <w:rFonts w:ascii="Times New Roman" w:hAnsi="Times New Roman" w:cs="Times New Roman"/>
          <w:sz w:val="28"/>
          <w:szCs w:val="28"/>
        </w:rPr>
        <w:t>IR</w:t>
      </w:r>
      <w:r w:rsidR="0002037E">
        <w:rPr>
          <w:rFonts w:ascii="Times New Roman" w:hAnsi="Times New Roman" w:cs="Times New Roman"/>
          <w:sz w:val="28"/>
          <w:szCs w:val="28"/>
        </w:rPr>
        <w:t>)</w:t>
      </w:r>
      <w:r w:rsidRPr="00A714DE">
        <w:rPr>
          <w:rFonts w:ascii="Times New Roman" w:hAnsi="Times New Roman" w:cs="Times New Roman"/>
          <w:sz w:val="28"/>
          <w:szCs w:val="28"/>
        </w:rPr>
        <w:t xml:space="preserve"> injury in rats and to assess </w:t>
      </w:r>
      <w:r w:rsidR="00C65678">
        <w:rPr>
          <w:rFonts w:ascii="Times New Roman" w:hAnsi="Times New Roman" w:cs="Times New Roman"/>
          <w:sz w:val="28"/>
          <w:szCs w:val="28"/>
        </w:rPr>
        <w:t>inducible nitric oxide synthase (</w:t>
      </w:r>
      <w:r w:rsidRPr="00A714DE">
        <w:rPr>
          <w:rFonts w:ascii="Times New Roman" w:hAnsi="Times New Roman" w:cs="Times New Roman"/>
          <w:sz w:val="28"/>
          <w:szCs w:val="28"/>
        </w:rPr>
        <w:t>iNOS</w:t>
      </w:r>
      <w:r w:rsidR="00C65678">
        <w:rPr>
          <w:rFonts w:ascii="Times New Roman" w:hAnsi="Times New Roman" w:cs="Times New Roman"/>
          <w:sz w:val="28"/>
          <w:szCs w:val="28"/>
        </w:rPr>
        <w:t>)</w:t>
      </w:r>
      <w:r w:rsidRPr="00A714DE">
        <w:rPr>
          <w:rFonts w:ascii="Times New Roman" w:hAnsi="Times New Roman" w:cs="Times New Roman"/>
          <w:sz w:val="28"/>
          <w:szCs w:val="28"/>
        </w:rPr>
        <w:t xml:space="preserve">, </w:t>
      </w:r>
      <w:r w:rsidR="00C65678">
        <w:rPr>
          <w:rFonts w:ascii="Times New Roman" w:hAnsi="Times New Roman" w:cs="Times New Roman"/>
          <w:sz w:val="28"/>
          <w:szCs w:val="28"/>
        </w:rPr>
        <w:t>endothelial nitric oxide synthase</w:t>
      </w:r>
      <w:r w:rsidR="00C65678" w:rsidRPr="00A714DE">
        <w:rPr>
          <w:rFonts w:ascii="Times New Roman" w:hAnsi="Times New Roman" w:cs="Times New Roman"/>
          <w:sz w:val="28"/>
          <w:szCs w:val="28"/>
        </w:rPr>
        <w:t xml:space="preserve"> </w:t>
      </w:r>
      <w:r w:rsidR="00C65678">
        <w:rPr>
          <w:rFonts w:ascii="Times New Roman" w:hAnsi="Times New Roman" w:cs="Times New Roman"/>
          <w:sz w:val="28"/>
          <w:szCs w:val="28"/>
        </w:rPr>
        <w:t>(</w:t>
      </w:r>
      <w:r w:rsidRPr="00A714DE">
        <w:rPr>
          <w:rFonts w:ascii="Times New Roman" w:hAnsi="Times New Roman" w:cs="Times New Roman"/>
          <w:sz w:val="28"/>
          <w:szCs w:val="28"/>
        </w:rPr>
        <w:t>eNOS</w:t>
      </w:r>
      <w:r w:rsidR="00C65678">
        <w:rPr>
          <w:rFonts w:ascii="Times New Roman" w:hAnsi="Times New Roman" w:cs="Times New Roman"/>
          <w:sz w:val="28"/>
          <w:szCs w:val="28"/>
        </w:rPr>
        <w:t>)</w:t>
      </w:r>
      <w:r w:rsidRPr="00A714DE">
        <w:rPr>
          <w:rFonts w:ascii="Times New Roman" w:hAnsi="Times New Roman" w:cs="Times New Roman"/>
          <w:sz w:val="28"/>
          <w:szCs w:val="28"/>
        </w:rPr>
        <w:t xml:space="preserve">, </w:t>
      </w:r>
      <w:r w:rsidR="00C65678">
        <w:rPr>
          <w:rFonts w:ascii="Times New Roman" w:hAnsi="Times New Roman" w:cs="Times New Roman"/>
          <w:sz w:val="28"/>
          <w:szCs w:val="28"/>
        </w:rPr>
        <w:t>eNOS trafficking inducer (</w:t>
      </w:r>
      <w:r w:rsidRPr="00A714DE">
        <w:rPr>
          <w:rFonts w:ascii="Times New Roman" w:hAnsi="Times New Roman" w:cs="Times New Roman"/>
          <w:sz w:val="28"/>
          <w:szCs w:val="28"/>
        </w:rPr>
        <w:t>NOSTRIN</w:t>
      </w:r>
      <w:r w:rsidR="00C65678">
        <w:rPr>
          <w:rFonts w:ascii="Times New Roman" w:hAnsi="Times New Roman" w:cs="Times New Roman"/>
          <w:sz w:val="28"/>
          <w:szCs w:val="28"/>
        </w:rPr>
        <w:t>)</w:t>
      </w:r>
      <w:r w:rsidRPr="00A714DE">
        <w:rPr>
          <w:rFonts w:ascii="Times New Roman" w:hAnsi="Times New Roman" w:cs="Times New Roman"/>
          <w:sz w:val="28"/>
          <w:szCs w:val="28"/>
        </w:rPr>
        <w:t xml:space="preserve"> and</w:t>
      </w:r>
      <w:r w:rsidR="00C65678">
        <w:rPr>
          <w:rFonts w:ascii="Times New Roman" w:hAnsi="Times New Roman" w:cs="Times New Roman"/>
          <w:sz w:val="28"/>
          <w:szCs w:val="28"/>
        </w:rPr>
        <w:t xml:space="preserve"> inositol -3-phosphate synthase (</w:t>
      </w:r>
      <w:r w:rsidRPr="00A714DE">
        <w:rPr>
          <w:rFonts w:ascii="Times New Roman" w:hAnsi="Times New Roman" w:cs="Times New Roman"/>
          <w:sz w:val="28"/>
          <w:szCs w:val="28"/>
        </w:rPr>
        <w:t>IPS</w:t>
      </w:r>
      <w:r w:rsidR="00C65678">
        <w:rPr>
          <w:rFonts w:ascii="Times New Roman" w:hAnsi="Times New Roman" w:cs="Times New Roman"/>
          <w:sz w:val="28"/>
          <w:szCs w:val="28"/>
        </w:rPr>
        <w:t>)</w:t>
      </w:r>
      <w:r w:rsidRPr="00A714DE">
        <w:rPr>
          <w:rFonts w:ascii="Times New Roman" w:hAnsi="Times New Roman" w:cs="Times New Roman"/>
          <w:sz w:val="28"/>
          <w:szCs w:val="28"/>
        </w:rPr>
        <w:t xml:space="preserve"> protein expressions, as a possible mechanism of their hepatoprotective effect.</w:t>
      </w:r>
    </w:p>
    <w:p w:rsidR="008720E7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         Rats were randomly </w:t>
      </w:r>
      <w:r w:rsidRPr="00A714DE">
        <w:rPr>
          <w:rFonts w:ascii="Times New Roman" w:hAnsi="Times New Roman" w:cs="Times New Roman"/>
          <w:sz w:val="28"/>
          <w:szCs w:val="28"/>
        </w:rPr>
        <w:t>divided</w:t>
      </w:r>
      <w:r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into five groups each consisted of 10 rats. The first group served as sham-operated control (received normal saline and 1% tween80 orally), and underwent operation similar to the other groups without actual clamping of the vessels. Group 2 was subjected to </w:t>
      </w:r>
      <w:r w:rsidR="0002037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>ischemia-reperfusion injury</w:t>
      </w:r>
      <w:r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(30 min</w:t>
      </w:r>
      <w:r w:rsidR="0002037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>utes</w:t>
      </w:r>
      <w:r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ischemia followed by 30 min</w:t>
      </w:r>
      <w:r w:rsidR="0002037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>utes</w:t>
      </w:r>
      <w:r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reperfusion). Groups 3, 4 and 5 were pretreated with N</w:t>
      </w:r>
      <w:r w:rsidR="00C01939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-acetylcysteine </w:t>
      </w:r>
      <w:r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(300 mg/kg freshly dissolved in normal saline), </w:t>
      </w:r>
      <w:r w:rsidR="0002037E">
        <w:rPr>
          <w:rFonts w:ascii="Times New Roman" w:hAnsi="Times New Roman" w:cs="Times New Roman"/>
          <w:sz w:val="28"/>
          <w:szCs w:val="28"/>
        </w:rPr>
        <w:t>t</w:t>
      </w:r>
      <w:r w:rsidR="00C01939">
        <w:rPr>
          <w:rFonts w:ascii="Times New Roman" w:hAnsi="Times New Roman" w:cs="Times New Roman"/>
          <w:sz w:val="28"/>
          <w:szCs w:val="28"/>
        </w:rPr>
        <w:t xml:space="preserve">hymoquinone </w:t>
      </w:r>
      <w:r w:rsidRPr="00A714DE">
        <w:rPr>
          <w:rFonts w:ascii="Times New Roman" w:hAnsi="Times New Roman" w:cs="Times New Roman"/>
          <w:sz w:val="28"/>
          <w:szCs w:val="28"/>
        </w:rPr>
        <w:t xml:space="preserve"> (20 mg/kg </w:t>
      </w:r>
      <w:r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>suspended in normal saline an</w:t>
      </w:r>
      <w:r w:rsidR="00C01939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>d 1% tween80) and quercetin</w:t>
      </w:r>
      <w:r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(20 mg/kg suspended in normal saline and 1% tween80), respectively. Rats were daily administered their respective doses per oral (p.o) for 10 days before subjection to IR.</w:t>
      </w:r>
    </w:p>
    <w:p w:rsidR="00C65678" w:rsidRDefault="00C65678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</w:p>
    <w:p w:rsidR="00C65678" w:rsidRPr="00A714DE" w:rsidRDefault="00C65678" w:rsidP="00C65678">
      <w:pPr>
        <w:tabs>
          <w:tab w:val="left" w:pos="567"/>
          <w:tab w:val="left" w:pos="2505"/>
        </w:tabs>
        <w:spacing w:line="240" w:lineRule="auto"/>
        <w:ind w:firstLine="0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</w:p>
    <w:p w:rsidR="008720E7" w:rsidRPr="006B76A3" w:rsidRDefault="008720E7" w:rsidP="00C65678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         </w:t>
      </w:r>
      <w:r w:rsidRPr="00A714DE">
        <w:rPr>
          <w:rFonts w:ascii="Times New Roman" w:hAnsi="Times New Roman" w:cs="Times New Roman"/>
          <w:sz w:val="28"/>
          <w:szCs w:val="28"/>
        </w:rPr>
        <w:t>H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epatic ischemia was </w:t>
      </w:r>
      <w:r w:rsidRPr="00A714DE">
        <w:rPr>
          <w:rFonts w:ascii="Times New Roman" w:hAnsi="Times New Roman" w:cs="Times New Roman"/>
          <w:sz w:val="28"/>
          <w:szCs w:val="28"/>
        </w:rPr>
        <w:t>su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rgically performed</w:t>
      </w:r>
      <w:r w:rsidRPr="00A714DE">
        <w:rPr>
          <w:rFonts w:ascii="Times New Roman" w:hAnsi="Times New Roman" w:cs="Times New Roman"/>
          <w:sz w:val="28"/>
          <w:szCs w:val="28"/>
        </w:rPr>
        <w:t xml:space="preserve"> by occlusion of hepatic pedicle (hepatic artery, portal vein, bile du</w:t>
      </w:r>
      <w:r w:rsidR="00C65678">
        <w:rPr>
          <w:rFonts w:ascii="Times New Roman" w:hAnsi="Times New Roman" w:cs="Times New Roman"/>
          <w:sz w:val="28"/>
          <w:szCs w:val="28"/>
        </w:rPr>
        <w:t xml:space="preserve">ct) which supplied the left and </w:t>
      </w:r>
      <w:r w:rsidRPr="00A714DE">
        <w:rPr>
          <w:rFonts w:ascii="Times New Roman" w:hAnsi="Times New Roman" w:cs="Times New Roman"/>
          <w:sz w:val="28"/>
          <w:szCs w:val="28"/>
        </w:rPr>
        <w:t>medial lobes (approximately 70% of the total liver mass), for 30 min</w:t>
      </w:r>
      <w:r w:rsidR="00C01939">
        <w:rPr>
          <w:rFonts w:ascii="Times New Roman" w:hAnsi="Times New Roman" w:cs="Times New Roman"/>
          <w:sz w:val="28"/>
          <w:szCs w:val="28"/>
        </w:rPr>
        <w:t>utes</w:t>
      </w:r>
      <w:r w:rsidRPr="00A714DE">
        <w:rPr>
          <w:rFonts w:ascii="Times New Roman" w:hAnsi="Times New Roman" w:cs="Times New Roman"/>
          <w:sz w:val="28"/>
          <w:szCs w:val="28"/>
        </w:rPr>
        <w:t>. with mini-clamp followed by releasing the clamp and the liver was reperfused for 30 min</w:t>
      </w:r>
      <w:r w:rsidR="00C01939">
        <w:rPr>
          <w:rFonts w:ascii="Times New Roman" w:hAnsi="Times New Roman" w:cs="Times New Roman"/>
          <w:sz w:val="28"/>
          <w:szCs w:val="28"/>
        </w:rPr>
        <w:t>utes</w:t>
      </w:r>
      <w:r w:rsidRPr="00A714DE">
        <w:rPr>
          <w:rFonts w:ascii="Times New Roman" w:hAnsi="Times New Roman" w:cs="Times New Roman"/>
          <w:sz w:val="28"/>
          <w:szCs w:val="28"/>
        </w:rPr>
        <w:t>.</w:t>
      </w:r>
    </w:p>
    <w:p w:rsidR="008720E7" w:rsidRPr="00A714DE" w:rsidRDefault="008720E7" w:rsidP="00662FF7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A714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The effects of</w:t>
      </w:r>
      <w:r w:rsidRPr="00A714DE">
        <w:rPr>
          <w:rFonts w:ascii="Times New Roman" w:hAnsi="Times New Roman" w:cs="Times New Roman"/>
          <w:sz w:val="28"/>
          <w:szCs w:val="28"/>
        </w:rPr>
        <w:t xml:space="preserve"> </w:t>
      </w:r>
      <w:r w:rsidR="00662FF7" w:rsidRPr="00A714DE">
        <w:rPr>
          <w:rFonts w:ascii="Times New Roman" w:hAnsi="Times New Roman" w:cs="Times New Roman"/>
          <w:sz w:val="28"/>
          <w:szCs w:val="28"/>
        </w:rPr>
        <w:t>NAC</w:t>
      </w:r>
      <w:r w:rsidR="00662FF7">
        <w:rPr>
          <w:rFonts w:ascii="Times New Roman" w:hAnsi="Times New Roman" w:cs="Times New Roman"/>
          <w:sz w:val="28"/>
          <w:szCs w:val="28"/>
        </w:rPr>
        <w:t>,</w:t>
      </w:r>
      <w:r w:rsidR="00662FF7" w:rsidRPr="00A714DE">
        <w:rPr>
          <w:rFonts w:ascii="Times New Roman" w:hAnsi="Times New Roman" w:cs="Times New Roman"/>
          <w:sz w:val="28"/>
          <w:szCs w:val="28"/>
        </w:rPr>
        <w:t xml:space="preserve"> </w:t>
      </w:r>
      <w:r w:rsidRPr="00A714DE">
        <w:rPr>
          <w:rFonts w:ascii="Times New Roman" w:hAnsi="Times New Roman" w:cs="Times New Roman"/>
          <w:sz w:val="28"/>
          <w:szCs w:val="28"/>
        </w:rPr>
        <w:t>TQ</w:t>
      </w:r>
      <w:r w:rsidR="00662FF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or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QR</w:t>
      </w:r>
      <w:r w:rsidRPr="00A714DE">
        <w:rPr>
          <w:rFonts w:ascii="Times New Roman" w:hAnsi="Times New Roman" w:cs="Times New Roman"/>
          <w:sz w:val="28"/>
          <w:szCs w:val="28"/>
        </w:rPr>
        <w:t xml:space="preserve">-pretreatment 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were evaluated by </w:t>
      </w:r>
      <w:r w:rsidR="00662FF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measurement of 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liver </w:t>
      </w:r>
      <w:r w:rsidR="00662FF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function tests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(</w:t>
      </w:r>
      <w:r w:rsidRPr="00A714DE">
        <w:rPr>
          <w:rFonts w:ascii="Times New Roman" w:hAnsi="Times New Roman" w:cs="Times New Roman"/>
          <w:sz w:val="28"/>
          <w:szCs w:val="28"/>
        </w:rPr>
        <w:t>serum ALT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and AST), oxidative stress </w:t>
      </w:r>
      <w:r w:rsidR="00662FF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biomarkers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(hepatic MDA and reduced GSH contents)</w:t>
      </w:r>
      <w:r w:rsidR="00662FF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. Furthermore, 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localization of iNOS, eNOS, NOSTRIN, IPS in liver tissues was assessed by immunofluorescence analysis. Also, hepatic MPO activity and NO production were determined in addition to histopathological </w:t>
      </w:r>
      <w:r w:rsidR="00662FF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examination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:rsidR="008720E7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14DE">
        <w:rPr>
          <w:rFonts w:ascii="Times New Roman" w:eastAsia="Calibri" w:hAnsi="Times New Roman" w:cs="Times New Roman"/>
          <w:b/>
          <w:bCs/>
          <w:sz w:val="28"/>
          <w:szCs w:val="28"/>
        </w:rPr>
        <w:t>The Main Findings of the Present Study can be summarized as Follow:</w:t>
      </w:r>
    </w:p>
    <w:p w:rsidR="008720E7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A714DE">
        <w:rPr>
          <w:rFonts w:ascii="Times New Roman" w:hAnsi="Times New Roman" w:cs="Times New Roman"/>
          <w:b/>
          <w:bCs/>
          <w:sz w:val="28"/>
          <w:szCs w:val="28"/>
        </w:rPr>
        <w:t>1- Effect of IR on the Liver of Normal Rats:</w:t>
      </w:r>
      <w:r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8720E7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A714D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A714DE">
        <w:rPr>
          <w:rFonts w:ascii="Times New Roman" w:hAnsi="Times New Roman" w:cs="Times New Roman"/>
          <w:sz w:val="28"/>
          <w:szCs w:val="28"/>
        </w:rPr>
        <w:t>H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epatic ischemia for 30 minutes followed by reperfusion for 30 minutes resulted in the following findings:</w:t>
      </w:r>
      <w:r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A714DE" w:rsidRDefault="008720E7" w:rsidP="00662FF7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a- Significant increase in serum activity of AST and ALT.</w:t>
      </w:r>
      <w:r w:rsidR="001B1AF7"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DF333F" w:rsidRDefault="008720E7" w:rsidP="00C65678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b- Significant increase in hepatic myeloperoxidase activity.</w:t>
      </w:r>
      <w:r w:rsidR="001B1AF7"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DF333F" w:rsidRDefault="00DF333F" w:rsidP="00DF333F">
      <w:pPr>
        <w:tabs>
          <w:tab w:val="left" w:pos="567"/>
          <w:tab w:val="left" w:pos="250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</w:p>
    <w:p w:rsidR="00A714DE" w:rsidRDefault="008720E7" w:rsidP="00DF333F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c-</w:t>
      </w:r>
      <w:r w:rsidRPr="00A714DE">
        <w:rPr>
          <w:rFonts w:ascii="Times New Roman" w:eastAsia="SimSun" w:hAnsi="Times New Roman" w:cs="Times New Roman"/>
          <w:bCs/>
          <w:sz w:val="28"/>
          <w:szCs w:val="28"/>
          <w:rtl/>
          <w:lang w:eastAsia="zh-CN"/>
        </w:rPr>
        <w:t xml:space="preserve"> 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Significant increase in hepatic malondialdehyde as a biomarker of oxidative stress in liver.</w:t>
      </w:r>
      <w:r w:rsidR="001B1AF7"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A714DE" w:rsidRDefault="008720E7" w:rsidP="00662FF7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d- Significant decrease in hepatic glutathione content</w:t>
      </w:r>
      <w:r w:rsidR="00662FF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:rsidR="00A714DE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e- A notable histopathological changes with</w:t>
      </w:r>
      <w:r w:rsidRPr="00A714DE">
        <w:rPr>
          <w:rFonts w:ascii="Times New Roman" w:eastAsia="SimSun" w:hAnsi="Times New Roman" w:cs="Times New Roman"/>
          <w:bCs/>
          <w:sz w:val="28"/>
          <w:szCs w:val="28"/>
          <w:rtl/>
          <w:lang w:eastAsia="zh-CN"/>
        </w:rPr>
        <w:t xml:space="preserve"> 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massively dilated and</w:t>
      </w:r>
      <w:r w:rsid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congested central vein as well as dilated congested blood sinusoids lined with activated kupffer cells. Also, many hepatocytes show pyknotic nuclei, cytoplasmic degeneration and infiltration of inflammatory cells.</w:t>
      </w:r>
      <w:r w:rsidR="001B1AF7"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f- Significant increase in iNOS protein expression</w:t>
      </w:r>
      <w:r w:rsidRPr="00A714DE">
        <w:rPr>
          <w:rFonts w:ascii="Times New Roman" w:eastAsia="SimSun" w:hAnsi="Times New Roman" w:cs="Times New Roman"/>
          <w:bCs/>
          <w:sz w:val="28"/>
          <w:szCs w:val="28"/>
          <w:rtl/>
          <w:lang w:eastAsia="zh-CN"/>
        </w:rPr>
        <w:t xml:space="preserve"> 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with significant increase in hepatic nitric oxide production.</w:t>
      </w:r>
      <w:r w:rsidR="001B1AF7"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8720E7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g- Significant decrease in eNOS protein expression along with significant increase in NOSTRIN protein expression</w:t>
      </w:r>
      <w:r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A714DE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h- Significant increase in IPS protein expression.</w:t>
      </w:r>
      <w:r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8720E7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A714DE">
        <w:rPr>
          <w:rFonts w:ascii="Times New Roman" w:eastAsia="Calibri" w:hAnsi="Times New Roman" w:cs="Times New Roman"/>
          <w:sz w:val="28"/>
          <w:szCs w:val="28"/>
        </w:rPr>
        <w:t xml:space="preserve">2- </w:t>
      </w:r>
      <w:r w:rsidRPr="00A714DE">
        <w:rPr>
          <w:rFonts w:ascii="Times New Roman" w:hAnsi="Times New Roman" w:cs="Times New Roman"/>
          <w:b/>
          <w:bCs/>
          <w:sz w:val="28"/>
          <w:szCs w:val="28"/>
        </w:rPr>
        <w:t>Effect of Pretreatment of N-acetylcysteine on IR Induced Liver Injury:</w:t>
      </w:r>
      <w:r w:rsidR="001B1AF7"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6B76A3" w:rsidRPr="00A714DE" w:rsidRDefault="008720E7" w:rsidP="000A772B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         Pretreatment of N-acetylcysteine (300mg/kg/day) for 10 days before subjection to IR resulted in the following findings:</w:t>
      </w:r>
      <w:r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1B1AF7" w:rsidRDefault="008720E7" w:rsidP="00662FF7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a- Significant 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 w:bidi="ar-EG"/>
        </w:rPr>
        <w:t>de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crease in serum activity of AST and ALT</w:t>
      </w:r>
      <w:r w:rsidR="00662FF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  <w:r w:rsidR="001B1AF7"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0A772B" w:rsidRPr="00A714DE" w:rsidRDefault="000A772B" w:rsidP="00DF333F">
      <w:pPr>
        <w:tabs>
          <w:tab w:val="left" w:pos="567"/>
          <w:tab w:val="left" w:pos="250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</w:p>
    <w:p w:rsidR="00A326EE" w:rsidRPr="00A326E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b- Significant decrease in hepatic myeloperoxidase activity</w:t>
      </w:r>
      <w:r w:rsidR="001B1AF7"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:rsidR="008720E7" w:rsidRPr="00A326E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c-</w:t>
      </w:r>
      <w:r w:rsidRPr="00A714DE">
        <w:rPr>
          <w:rFonts w:ascii="Times New Roman" w:eastAsia="SimSun" w:hAnsi="Times New Roman" w:cs="Times New Roman"/>
          <w:bCs/>
          <w:sz w:val="28"/>
          <w:szCs w:val="28"/>
          <w:rtl/>
          <w:lang w:eastAsia="zh-CN"/>
        </w:rPr>
        <w:t xml:space="preserve"> 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Significant decrease in hepatic malondialdehyde as a biomarker of oxidative stress in liver.</w:t>
      </w:r>
      <w:r w:rsidR="001B1AF7"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8720E7" w:rsidRPr="00A326E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d- Significant increase in hepatic glutathione content which decrease oxidative stress</w:t>
      </w:r>
      <w:r w:rsidR="001B1AF7"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:rsidR="008720E7" w:rsidRPr="00A714DE" w:rsidRDefault="008720E7" w:rsidP="00662FF7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e- </w:t>
      </w:r>
      <w:r w:rsidR="00662FF7">
        <w:rPr>
          <w:rFonts w:ascii="Times New Roman" w:hAnsi="Times New Roman" w:cs="Times New Roman"/>
          <w:sz w:val="28"/>
          <w:szCs w:val="28"/>
        </w:rPr>
        <w:t xml:space="preserve">Marked improvement of </w:t>
      </w:r>
      <w:r w:rsidRPr="00A714DE">
        <w:rPr>
          <w:rFonts w:ascii="Times New Roman" w:hAnsi="Times New Roman" w:cs="Times New Roman"/>
          <w:sz w:val="28"/>
          <w:szCs w:val="28"/>
        </w:rPr>
        <w:t>histopathological picture. Meanwhile, central vein still dilated and congested.</w:t>
      </w:r>
      <w:r w:rsidR="001B1AF7"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8720E7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bCs/>
          <w:sz w:val="28"/>
          <w:szCs w:val="28"/>
          <w:rtl/>
          <w:lang w:eastAsia="zh-CN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f- Significant decrease in iNOS protein expression</w:t>
      </w:r>
      <w:r w:rsidRPr="00A714DE">
        <w:rPr>
          <w:rFonts w:ascii="Times New Roman" w:eastAsia="SimSun" w:hAnsi="Times New Roman" w:cs="Times New Roman"/>
          <w:bCs/>
          <w:sz w:val="28"/>
          <w:szCs w:val="28"/>
          <w:rtl/>
          <w:lang w:eastAsia="zh-CN"/>
        </w:rPr>
        <w:t xml:space="preserve"> 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with significant decrease in hepatic nitric oxide production.</w:t>
      </w:r>
      <w:r w:rsidR="001B1AF7"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</w:p>
    <w:p w:rsidR="00A326EE" w:rsidRPr="00A326E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g- Significant increase in eNOS protein expression along with significant decrease in NOSTRIN protein expression.</w:t>
      </w:r>
      <w:r w:rsidR="001B1AF7"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8720E7" w:rsidRPr="006B76A3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h- No</w:t>
      </w:r>
      <w:r w:rsidR="00662FF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significant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effect on IPS protein expression</w:t>
      </w:r>
      <w:r w:rsidR="001B1AF7"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:rsidR="006B76A3" w:rsidRDefault="008720E7" w:rsidP="00662FF7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A714DE">
        <w:rPr>
          <w:rFonts w:ascii="Times New Roman" w:eastAsia="Calibri" w:hAnsi="Times New Roman" w:cs="Times New Roman"/>
          <w:sz w:val="28"/>
          <w:szCs w:val="28"/>
        </w:rPr>
        <w:t xml:space="preserve">3- </w:t>
      </w:r>
      <w:r w:rsidRPr="00A714DE">
        <w:rPr>
          <w:rFonts w:ascii="Times New Roman" w:hAnsi="Times New Roman" w:cs="Times New Roman"/>
          <w:b/>
          <w:bCs/>
          <w:sz w:val="28"/>
          <w:szCs w:val="28"/>
        </w:rPr>
        <w:t>Effect of Pretreatment  of Thymoquinone on IR Induced Liver Injury:</w:t>
      </w:r>
      <w:r w:rsidR="00A326EE" w:rsidRPr="00A326E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1B1AF7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         Pretreatment of thymoquinone (20mg/kg/day) for 10 days before subjection to IR resulted in the following findings:</w:t>
      </w:r>
    </w:p>
    <w:p w:rsidR="001B1AF7" w:rsidRDefault="001B1AF7" w:rsidP="00662FF7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</w:t>
      </w:r>
      <w:r w:rsidR="008720E7"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a- Significant </w:t>
      </w:r>
      <w:r w:rsidR="008720E7" w:rsidRPr="00A714DE">
        <w:rPr>
          <w:rFonts w:ascii="Times New Roman" w:eastAsia="SimSun" w:hAnsi="Times New Roman" w:cs="Times New Roman"/>
          <w:bCs/>
          <w:sz w:val="28"/>
          <w:szCs w:val="28"/>
          <w:lang w:eastAsia="zh-CN" w:bidi="ar-EG"/>
        </w:rPr>
        <w:t>de</w:t>
      </w:r>
      <w:r w:rsidR="008720E7"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crease in serum activity of </w:t>
      </w:r>
      <w:r w:rsidR="00662FF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AST and ALT</w:t>
      </w:r>
      <w:r w:rsidR="008720E7"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  <w:r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</w:t>
      </w:r>
    </w:p>
    <w:p w:rsidR="000A772B" w:rsidRPr="00A714DE" w:rsidRDefault="000A772B" w:rsidP="00DF333F">
      <w:pPr>
        <w:tabs>
          <w:tab w:val="left" w:pos="567"/>
          <w:tab w:val="left" w:pos="2505"/>
        </w:tabs>
        <w:spacing w:line="240" w:lineRule="auto"/>
        <w:ind w:firstLine="0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</w:p>
    <w:p w:rsidR="001B1AF7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b- Significant decrease in hepatic myeloperoxidase activity.</w:t>
      </w:r>
      <w:r w:rsidR="001B1AF7"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</w:t>
      </w:r>
    </w:p>
    <w:p w:rsidR="001B1AF7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c-</w:t>
      </w:r>
      <w:r w:rsidRPr="00A714DE">
        <w:rPr>
          <w:rFonts w:ascii="Times New Roman" w:eastAsia="SimSun" w:hAnsi="Times New Roman" w:cs="Times New Roman"/>
          <w:bCs/>
          <w:sz w:val="28"/>
          <w:szCs w:val="28"/>
          <w:rtl/>
          <w:lang w:eastAsia="zh-CN"/>
        </w:rPr>
        <w:t xml:space="preserve"> 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Significant decrease in hepatic malondialdehyde as a biomarker of oxidative stress in liver.</w:t>
      </w:r>
    </w:p>
    <w:p w:rsidR="001B1AF7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d- Significant increase in hepatic glutathione content which decrease oxidative stress.</w:t>
      </w:r>
      <w:r w:rsidR="001B1AF7"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</w:t>
      </w:r>
    </w:p>
    <w:p w:rsidR="001B1AF7" w:rsidRPr="00A714DE" w:rsidRDefault="008720E7" w:rsidP="00662FF7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e- </w:t>
      </w:r>
      <w:r w:rsidRPr="00A714DE">
        <w:rPr>
          <w:rFonts w:ascii="Times New Roman" w:hAnsi="Times New Roman" w:cs="Times New Roman"/>
          <w:sz w:val="28"/>
          <w:szCs w:val="28"/>
        </w:rPr>
        <w:t xml:space="preserve">The majority of hepatic lobules </w:t>
      </w:r>
      <w:r w:rsidR="00662FF7">
        <w:rPr>
          <w:rFonts w:ascii="Times New Roman" w:hAnsi="Times New Roman" w:cs="Times New Roman"/>
          <w:sz w:val="28"/>
          <w:szCs w:val="28"/>
        </w:rPr>
        <w:t>retained</w:t>
      </w:r>
      <w:r w:rsidRPr="00A714DE">
        <w:rPr>
          <w:rFonts w:ascii="Times New Roman" w:hAnsi="Times New Roman" w:cs="Times New Roman"/>
          <w:sz w:val="28"/>
          <w:szCs w:val="28"/>
        </w:rPr>
        <w:t xml:space="preserve"> the normal architecture with dilated and congested central vein.</w:t>
      </w:r>
      <w:r w:rsidR="001B1AF7"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</w:t>
      </w:r>
    </w:p>
    <w:p w:rsidR="00A326E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f- Significant decrease in iNOS protein expression</w:t>
      </w:r>
      <w:r w:rsidRPr="00A714DE">
        <w:rPr>
          <w:rFonts w:ascii="Times New Roman" w:eastAsia="SimSun" w:hAnsi="Times New Roman" w:cs="Times New Roman"/>
          <w:bCs/>
          <w:sz w:val="28"/>
          <w:szCs w:val="28"/>
          <w:rtl/>
          <w:lang w:eastAsia="zh-CN"/>
        </w:rPr>
        <w:t xml:space="preserve"> 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with significant decrease in hepatic nitric oxide production. </w:t>
      </w:r>
    </w:p>
    <w:p w:rsidR="001B1AF7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g- Significant increase in eNOS protein expression along with significant decrease in NOSTRIN protein expression.</w:t>
      </w:r>
      <w:r w:rsidR="001B1AF7"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</w:t>
      </w:r>
    </w:p>
    <w:p w:rsidR="008720E7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h- Significant decrease in IPS protein expression.</w:t>
      </w:r>
      <w:r w:rsidR="001B1AF7"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8720E7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714DE">
        <w:rPr>
          <w:rFonts w:ascii="Times New Roman" w:eastAsia="Calibri" w:hAnsi="Times New Roman" w:cs="Times New Roman"/>
          <w:sz w:val="28"/>
          <w:szCs w:val="28"/>
        </w:rPr>
        <w:t xml:space="preserve">4- </w:t>
      </w:r>
      <w:r w:rsidRPr="00A714DE">
        <w:rPr>
          <w:rFonts w:ascii="Times New Roman" w:hAnsi="Times New Roman" w:cs="Times New Roman"/>
          <w:b/>
          <w:bCs/>
          <w:sz w:val="28"/>
          <w:szCs w:val="28"/>
        </w:rPr>
        <w:t>Effect of Pretreatment  of Quercetin on IR Induced Liver Injury</w:t>
      </w:r>
      <w:r w:rsidR="00A326E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1B1AF7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        Pretreatment of quercetin (20mg/kg/day) for 10 days before subjection to IR resulted in the following findings:</w:t>
      </w:r>
    </w:p>
    <w:p w:rsidR="001B1AF7" w:rsidRPr="00A714DE" w:rsidRDefault="001B1AF7" w:rsidP="00662FF7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</w:t>
      </w:r>
      <w:r w:rsidR="008720E7"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a- Significant </w:t>
      </w:r>
      <w:r w:rsidR="008720E7" w:rsidRPr="00A714DE">
        <w:rPr>
          <w:rFonts w:ascii="Times New Roman" w:eastAsia="SimSun" w:hAnsi="Times New Roman" w:cs="Times New Roman"/>
          <w:bCs/>
          <w:sz w:val="28"/>
          <w:szCs w:val="28"/>
          <w:lang w:eastAsia="zh-CN" w:bidi="ar-EG"/>
        </w:rPr>
        <w:t>de</w:t>
      </w:r>
      <w:r w:rsidR="008720E7"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crease in serum activity of AST and ALT.</w:t>
      </w:r>
      <w:r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</w:t>
      </w:r>
    </w:p>
    <w:p w:rsidR="001B1AF7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b- Significant decrease in hepatic myeloperoxidase activity.</w:t>
      </w:r>
      <w:r w:rsidR="001B1AF7"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</w:t>
      </w:r>
    </w:p>
    <w:p w:rsidR="000A772B" w:rsidRPr="00A714DE" w:rsidRDefault="000A772B" w:rsidP="00DF333F">
      <w:pPr>
        <w:tabs>
          <w:tab w:val="left" w:pos="567"/>
          <w:tab w:val="left" w:pos="2505"/>
        </w:tabs>
        <w:spacing w:line="240" w:lineRule="auto"/>
        <w:ind w:firstLine="0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</w:p>
    <w:p w:rsidR="001B1AF7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c-</w:t>
      </w:r>
      <w:r w:rsidRPr="00A714DE">
        <w:rPr>
          <w:rFonts w:ascii="Times New Roman" w:eastAsia="SimSun" w:hAnsi="Times New Roman" w:cs="Times New Roman"/>
          <w:bCs/>
          <w:sz w:val="28"/>
          <w:szCs w:val="28"/>
          <w:rtl/>
          <w:lang w:eastAsia="zh-CN"/>
        </w:rPr>
        <w:t xml:space="preserve"> 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Significant decrease in hepatic malondialdehyde as a biomarker of oxidative stress in liver.</w:t>
      </w:r>
      <w:r w:rsidR="001B1AF7" w:rsidRPr="00A714DE">
        <w:rPr>
          <w:rFonts w:ascii="Times New Roman" w:eastAsia="SimSun" w:hAnsi="Times New Roman" w:cs="Times New Roman"/>
          <w:spacing w:val="-1"/>
          <w:sz w:val="28"/>
          <w:szCs w:val="28"/>
          <w:lang w:eastAsia="zh-CN"/>
        </w:rPr>
        <w:t xml:space="preserve"> </w:t>
      </w:r>
    </w:p>
    <w:p w:rsidR="001B1AF7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d- Significant increase in hepatic glutathione content which decrease oxidative stress.</w:t>
      </w:r>
    </w:p>
    <w:p w:rsidR="00A326EE" w:rsidRDefault="008720E7" w:rsidP="00662FF7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e- </w:t>
      </w:r>
      <w:r w:rsidR="00662FF7">
        <w:rPr>
          <w:rFonts w:ascii="Times New Roman" w:hAnsi="Times New Roman" w:cs="Times New Roman"/>
          <w:sz w:val="28"/>
          <w:szCs w:val="28"/>
        </w:rPr>
        <w:t xml:space="preserve">Marked improvement of </w:t>
      </w:r>
      <w:r w:rsidRPr="00A714DE">
        <w:rPr>
          <w:rFonts w:ascii="Times New Roman" w:hAnsi="Times New Roman" w:cs="Times New Roman"/>
          <w:sz w:val="28"/>
          <w:szCs w:val="28"/>
        </w:rPr>
        <w:t>histopathological picture. Meanwhile, central vein still dilated and congested.</w:t>
      </w:r>
    </w:p>
    <w:p w:rsidR="001B1AF7" w:rsidRPr="00A326E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f- Significant decrease in iNOS protein expression</w:t>
      </w:r>
      <w:r w:rsidRPr="00A714DE">
        <w:rPr>
          <w:rFonts w:ascii="Times New Roman" w:eastAsia="SimSun" w:hAnsi="Times New Roman" w:cs="Times New Roman"/>
          <w:bCs/>
          <w:sz w:val="28"/>
          <w:szCs w:val="28"/>
          <w:rtl/>
          <w:lang w:eastAsia="zh-CN"/>
        </w:rPr>
        <w:t xml:space="preserve"> 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with significant decrease in hepatic nitric oxide production.</w:t>
      </w:r>
    </w:p>
    <w:p w:rsidR="001B1AF7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g- Significant increase in eNOS protein expression along with significant decrease in NOSTRIN protein expression.</w:t>
      </w:r>
    </w:p>
    <w:p w:rsidR="008720E7" w:rsidRPr="000A772B" w:rsidRDefault="008720E7" w:rsidP="000A772B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h- Significant decrease in IPS protein expression.</w:t>
      </w:r>
      <w:r w:rsidR="001B1AF7"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A714DE" w:rsidRPr="00A326E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A71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Based on the previous results, we can conclude the following:</w:t>
      </w:r>
      <w:r w:rsidR="00A714DE"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A714DE" w:rsidRPr="00A714D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1- Hepatic ischemia-reperfusion resulted in a significant liver injury due to oxidative stress, nitrosative stress and inflammatory responses.</w:t>
      </w:r>
      <w:r w:rsidR="001B1AF7"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</w:p>
    <w:p w:rsidR="008720E7" w:rsidRDefault="008720E7" w:rsidP="00C65678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2- Thymoquinone and quercetin exhibited a</w:t>
      </w:r>
      <w:r w:rsidRPr="00A714DE">
        <w:rPr>
          <w:rFonts w:ascii="Times New Roman" w:eastAsia="SimSun" w:hAnsi="Times New Roman" w:cs="Times New Roman"/>
          <w:bCs/>
          <w:sz w:val="28"/>
          <w:szCs w:val="28"/>
          <w:rtl/>
          <w:lang w:eastAsia="zh-CN"/>
        </w:rPr>
        <w:t xml:space="preserve"> 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more pronounced hepatoprotection as they successfully restored liver function and</w:t>
      </w:r>
      <w:r w:rsidR="00C656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architecture. Also, they inhibited oxidative and nitrosative stress induced by IR compared to N-acetylcysteine.</w:t>
      </w:r>
    </w:p>
    <w:p w:rsidR="00C65678" w:rsidRPr="00A714DE" w:rsidRDefault="00C65678" w:rsidP="00C65678">
      <w:pPr>
        <w:tabs>
          <w:tab w:val="left" w:pos="567"/>
          <w:tab w:val="left" w:pos="2505"/>
        </w:tabs>
        <w:spacing w:line="240" w:lineRule="auto"/>
        <w:ind w:firstLine="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8720E7" w:rsidRPr="00A326EE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lang w:bidi="ar-EG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3- In addition, the hepatoprotective mechanism of thymoquinone and quercetin, at least in part, by modulating iNOS, eNOS, NOSTRIN and IPS protein expressions.</w:t>
      </w:r>
      <w:r w:rsidR="00A714DE"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8720E7" w:rsidRDefault="008720E7" w:rsidP="006B76A3">
      <w:pPr>
        <w:tabs>
          <w:tab w:val="left" w:pos="567"/>
          <w:tab w:val="left" w:pos="2505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A714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4- Still, further investigations should be done to investigate their potential uses in clinical trial.</w:t>
      </w:r>
      <w:r w:rsidR="00A714DE" w:rsidRPr="00A714DE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sectPr w:rsidR="008720E7" w:rsidSect="00DF333F">
      <w:headerReference w:type="default" r:id="rId8"/>
      <w:footerReference w:type="default" r:id="rId9"/>
      <w:pgSz w:w="11906" w:h="16838"/>
      <w:pgMar w:top="1440" w:right="1800" w:bottom="1440" w:left="1843" w:header="708" w:footer="680" w:gutter="0"/>
      <w:pgNumType w:start="12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64C" w:rsidRDefault="007B064C" w:rsidP="00780047">
      <w:pPr>
        <w:spacing w:before="0" w:after="0" w:line="240" w:lineRule="auto"/>
      </w:pPr>
      <w:r>
        <w:separator/>
      </w:r>
    </w:p>
  </w:endnote>
  <w:endnote w:type="continuationSeparator" w:id="1">
    <w:p w:rsidR="007B064C" w:rsidRDefault="007B064C" w:rsidP="007800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31713"/>
      <w:docPartObj>
        <w:docPartGallery w:val="Page Numbers (Bottom of Page)"/>
        <w:docPartUnique/>
      </w:docPartObj>
    </w:sdtPr>
    <w:sdtContent>
      <w:p w:rsidR="00DF333F" w:rsidRDefault="00C52827">
        <w:pPr>
          <w:pStyle w:val="Footer"/>
          <w:jc w:val="center"/>
        </w:pPr>
        <w:fldSimple w:instr=" PAGE   \* MERGEFORMAT ">
          <w:r w:rsidR="00C65678">
            <w:rPr>
              <w:noProof/>
            </w:rPr>
            <w:t>132</w:t>
          </w:r>
        </w:fldSimple>
      </w:p>
    </w:sdtContent>
  </w:sdt>
  <w:p w:rsidR="00B443DF" w:rsidRDefault="00B443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64C" w:rsidRDefault="007B064C" w:rsidP="00780047">
      <w:pPr>
        <w:spacing w:before="0" w:after="0" w:line="240" w:lineRule="auto"/>
      </w:pPr>
      <w:r>
        <w:separator/>
      </w:r>
    </w:p>
  </w:footnote>
  <w:footnote w:type="continuationSeparator" w:id="1">
    <w:p w:rsidR="007B064C" w:rsidRDefault="007B064C" w:rsidP="007800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DF" w:rsidRPr="00780047" w:rsidRDefault="00C52827" w:rsidP="008720E7">
    <w:pPr>
      <w:pStyle w:val="Header"/>
      <w:jc w:val="right"/>
      <w:rPr>
        <w:rFonts w:asciiTheme="majorBidi" w:hAnsiTheme="majorBidi" w:cstheme="majorBidi"/>
        <w:i/>
        <w:iCs/>
        <w:sz w:val="24"/>
        <w:szCs w:val="24"/>
      </w:rPr>
    </w:pPr>
    <w:r>
      <w:rPr>
        <w:rFonts w:asciiTheme="majorBidi" w:hAnsiTheme="majorBidi" w:cstheme="majorBidi"/>
        <w:i/>
        <w:iCs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14.9pt;margin-top:20.15pt;width:449.25pt;height: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" strokeweight="1.5pt"/>
      </w:pict>
    </w:r>
    <w:r w:rsidR="000E569C">
      <w:rPr>
        <w:rFonts w:asciiTheme="majorBidi" w:hAnsiTheme="majorBidi" w:cstheme="majorBidi"/>
        <w:i/>
        <w:iCs/>
        <w:sz w:val="24"/>
        <w:szCs w:val="24"/>
      </w:rPr>
      <w:t xml:space="preserve">6. </w:t>
    </w:r>
    <w:r w:rsidR="008720E7">
      <w:rPr>
        <w:rFonts w:asciiTheme="majorBidi" w:hAnsiTheme="majorBidi" w:cstheme="majorBidi"/>
        <w:i/>
        <w:iCs/>
        <w:sz w:val="24"/>
        <w:szCs w:val="24"/>
      </w:rPr>
      <w:t>Summary and Conclusion</w:t>
    </w:r>
    <w:r w:rsidR="00B443DF" w:rsidRPr="00780047">
      <w:rPr>
        <w:rFonts w:asciiTheme="majorBidi" w:hAnsiTheme="majorBidi" w:cstheme="majorBidi"/>
        <w:i/>
        <w:iCs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85C"/>
    <w:multiLevelType w:val="multilevel"/>
    <w:tmpl w:val="DB3E8DA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62E3FEC"/>
    <w:multiLevelType w:val="hybridMultilevel"/>
    <w:tmpl w:val="2062DA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3663D8"/>
    <w:multiLevelType w:val="hybridMultilevel"/>
    <w:tmpl w:val="E07208A2"/>
    <w:lvl w:ilvl="0" w:tplc="22ECFF46">
      <w:start w:val="1"/>
      <w:numFmt w:val="decimal"/>
      <w:lvlText w:val="%1-"/>
      <w:lvlJc w:val="left"/>
      <w:pPr>
        <w:ind w:left="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">
    <w:nsid w:val="09B2187F"/>
    <w:multiLevelType w:val="hybridMultilevel"/>
    <w:tmpl w:val="80B418AA"/>
    <w:lvl w:ilvl="0" w:tplc="271CA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00152"/>
    <w:multiLevelType w:val="hybridMultilevel"/>
    <w:tmpl w:val="E49A7938"/>
    <w:lvl w:ilvl="0" w:tplc="F572CF2C">
      <w:start w:val="1"/>
      <w:numFmt w:val="decimal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94155"/>
    <w:multiLevelType w:val="hybridMultilevel"/>
    <w:tmpl w:val="F4A4D496"/>
    <w:lvl w:ilvl="0" w:tplc="36B4F3F0">
      <w:start w:val="1"/>
      <w:numFmt w:val="decimal"/>
      <w:lvlText w:val="(%1)"/>
      <w:lvlJc w:val="left"/>
      <w:pPr>
        <w:ind w:left="720" w:hanging="72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D35B5"/>
    <w:multiLevelType w:val="hybridMultilevel"/>
    <w:tmpl w:val="49C0D18A"/>
    <w:lvl w:ilvl="0" w:tplc="9386EE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46910"/>
    <w:multiLevelType w:val="hybridMultilevel"/>
    <w:tmpl w:val="8C5C449E"/>
    <w:lvl w:ilvl="0" w:tplc="AADA18C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648C8"/>
    <w:multiLevelType w:val="hybridMultilevel"/>
    <w:tmpl w:val="9B30F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039B7"/>
    <w:multiLevelType w:val="hybridMultilevel"/>
    <w:tmpl w:val="E32A4FFE"/>
    <w:lvl w:ilvl="0" w:tplc="8EAAA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060AA"/>
    <w:multiLevelType w:val="hybridMultilevel"/>
    <w:tmpl w:val="795C6106"/>
    <w:lvl w:ilvl="0" w:tplc="E02EF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411F3"/>
    <w:multiLevelType w:val="hybridMultilevel"/>
    <w:tmpl w:val="0682E192"/>
    <w:lvl w:ilvl="0" w:tplc="11147F46">
      <w:start w:val="1"/>
      <w:numFmt w:val="upperLetter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361863"/>
    <w:multiLevelType w:val="hybridMultilevel"/>
    <w:tmpl w:val="4DA05E3E"/>
    <w:lvl w:ilvl="0" w:tplc="F774BE84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D1FB5"/>
    <w:multiLevelType w:val="hybridMultilevel"/>
    <w:tmpl w:val="C744F42E"/>
    <w:lvl w:ilvl="0" w:tplc="DCB8224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27C1A"/>
    <w:multiLevelType w:val="hybridMultilevel"/>
    <w:tmpl w:val="DC34534A"/>
    <w:lvl w:ilvl="0" w:tplc="717E4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8699C"/>
    <w:multiLevelType w:val="hybridMultilevel"/>
    <w:tmpl w:val="C222405E"/>
    <w:lvl w:ilvl="0" w:tplc="A10A808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FC649F"/>
    <w:multiLevelType w:val="hybridMultilevel"/>
    <w:tmpl w:val="F57C3E1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2562F"/>
    <w:multiLevelType w:val="hybridMultilevel"/>
    <w:tmpl w:val="59F2F960"/>
    <w:lvl w:ilvl="0" w:tplc="28385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00565"/>
    <w:multiLevelType w:val="hybridMultilevel"/>
    <w:tmpl w:val="795EA626"/>
    <w:lvl w:ilvl="0" w:tplc="5A54C28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16AF8"/>
    <w:multiLevelType w:val="hybridMultilevel"/>
    <w:tmpl w:val="F4BC834A"/>
    <w:lvl w:ilvl="0" w:tplc="C03A07C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241E3"/>
    <w:multiLevelType w:val="hybridMultilevel"/>
    <w:tmpl w:val="710069E0"/>
    <w:lvl w:ilvl="0" w:tplc="32986A9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3A06BB3"/>
    <w:multiLevelType w:val="hybridMultilevel"/>
    <w:tmpl w:val="66B49DD4"/>
    <w:lvl w:ilvl="0" w:tplc="04090015">
      <w:start w:val="1"/>
      <w:numFmt w:val="upperLetter"/>
      <w:lvlText w:val="%1."/>
      <w:lvlJc w:val="left"/>
      <w:pPr>
        <w:ind w:left="1025" w:hanging="360"/>
      </w:pPr>
    </w:lvl>
    <w:lvl w:ilvl="1" w:tplc="04090019" w:tentative="1">
      <w:start w:val="1"/>
      <w:numFmt w:val="lowerLetter"/>
      <w:lvlText w:val="%2."/>
      <w:lvlJc w:val="left"/>
      <w:pPr>
        <w:ind w:left="1745" w:hanging="360"/>
      </w:pPr>
    </w:lvl>
    <w:lvl w:ilvl="2" w:tplc="0409001B" w:tentative="1">
      <w:start w:val="1"/>
      <w:numFmt w:val="lowerRoman"/>
      <w:lvlText w:val="%3."/>
      <w:lvlJc w:val="right"/>
      <w:pPr>
        <w:ind w:left="2465" w:hanging="180"/>
      </w:pPr>
    </w:lvl>
    <w:lvl w:ilvl="3" w:tplc="0409000F" w:tentative="1">
      <w:start w:val="1"/>
      <w:numFmt w:val="decimal"/>
      <w:lvlText w:val="%4."/>
      <w:lvlJc w:val="left"/>
      <w:pPr>
        <w:ind w:left="3185" w:hanging="360"/>
      </w:pPr>
    </w:lvl>
    <w:lvl w:ilvl="4" w:tplc="04090019" w:tentative="1">
      <w:start w:val="1"/>
      <w:numFmt w:val="lowerLetter"/>
      <w:lvlText w:val="%5."/>
      <w:lvlJc w:val="left"/>
      <w:pPr>
        <w:ind w:left="3905" w:hanging="360"/>
      </w:pPr>
    </w:lvl>
    <w:lvl w:ilvl="5" w:tplc="0409001B" w:tentative="1">
      <w:start w:val="1"/>
      <w:numFmt w:val="lowerRoman"/>
      <w:lvlText w:val="%6."/>
      <w:lvlJc w:val="right"/>
      <w:pPr>
        <w:ind w:left="4625" w:hanging="180"/>
      </w:pPr>
    </w:lvl>
    <w:lvl w:ilvl="6" w:tplc="0409000F" w:tentative="1">
      <w:start w:val="1"/>
      <w:numFmt w:val="decimal"/>
      <w:lvlText w:val="%7."/>
      <w:lvlJc w:val="left"/>
      <w:pPr>
        <w:ind w:left="5345" w:hanging="360"/>
      </w:pPr>
    </w:lvl>
    <w:lvl w:ilvl="7" w:tplc="04090019" w:tentative="1">
      <w:start w:val="1"/>
      <w:numFmt w:val="lowerLetter"/>
      <w:lvlText w:val="%8."/>
      <w:lvlJc w:val="left"/>
      <w:pPr>
        <w:ind w:left="6065" w:hanging="360"/>
      </w:pPr>
    </w:lvl>
    <w:lvl w:ilvl="8" w:tplc="040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22">
    <w:nsid w:val="5F13229C"/>
    <w:multiLevelType w:val="hybridMultilevel"/>
    <w:tmpl w:val="E294C216"/>
    <w:lvl w:ilvl="0" w:tplc="C5D4ED2A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8651C2"/>
    <w:multiLevelType w:val="hybridMultilevel"/>
    <w:tmpl w:val="B194F8F0"/>
    <w:lvl w:ilvl="0" w:tplc="26BA263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>
    <w:nsid w:val="688501B3"/>
    <w:multiLevelType w:val="hybridMultilevel"/>
    <w:tmpl w:val="538446E2"/>
    <w:lvl w:ilvl="0" w:tplc="57189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324D1"/>
    <w:multiLevelType w:val="hybridMultilevel"/>
    <w:tmpl w:val="54FA4E22"/>
    <w:lvl w:ilvl="0" w:tplc="BDBC8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E7991"/>
    <w:multiLevelType w:val="hybridMultilevel"/>
    <w:tmpl w:val="92A2CDC0"/>
    <w:lvl w:ilvl="0" w:tplc="C3F2B926">
      <w:start w:val="1"/>
      <w:numFmt w:val="decimal"/>
      <w:lvlText w:val="(%1)"/>
      <w:lvlJc w:val="left"/>
      <w:pPr>
        <w:ind w:left="735" w:hanging="375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32CD4"/>
    <w:multiLevelType w:val="hybridMultilevel"/>
    <w:tmpl w:val="537E8102"/>
    <w:lvl w:ilvl="0" w:tplc="99302E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D70A1"/>
    <w:multiLevelType w:val="hybridMultilevel"/>
    <w:tmpl w:val="32BCC090"/>
    <w:lvl w:ilvl="0" w:tplc="8E364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1458B"/>
    <w:multiLevelType w:val="multilevel"/>
    <w:tmpl w:val="2E5267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3"/>
  </w:num>
  <w:num w:numId="5">
    <w:abstractNumId w:val="10"/>
  </w:num>
  <w:num w:numId="6">
    <w:abstractNumId w:val="22"/>
  </w:num>
  <w:num w:numId="7">
    <w:abstractNumId w:val="2"/>
  </w:num>
  <w:num w:numId="8">
    <w:abstractNumId w:val="12"/>
  </w:num>
  <w:num w:numId="9">
    <w:abstractNumId w:val="27"/>
  </w:num>
  <w:num w:numId="10">
    <w:abstractNumId w:val="11"/>
  </w:num>
  <w:num w:numId="11">
    <w:abstractNumId w:val="17"/>
  </w:num>
  <w:num w:numId="12">
    <w:abstractNumId w:val="14"/>
  </w:num>
  <w:num w:numId="13">
    <w:abstractNumId w:val="18"/>
  </w:num>
  <w:num w:numId="14">
    <w:abstractNumId w:val="6"/>
  </w:num>
  <w:num w:numId="15">
    <w:abstractNumId w:val="26"/>
  </w:num>
  <w:num w:numId="16">
    <w:abstractNumId w:val="3"/>
  </w:num>
  <w:num w:numId="17">
    <w:abstractNumId w:val="7"/>
  </w:num>
  <w:num w:numId="18">
    <w:abstractNumId w:val="8"/>
  </w:num>
  <w:num w:numId="19">
    <w:abstractNumId w:val="21"/>
  </w:num>
  <w:num w:numId="20">
    <w:abstractNumId w:val="23"/>
  </w:num>
  <w:num w:numId="21">
    <w:abstractNumId w:val="1"/>
  </w:num>
  <w:num w:numId="22">
    <w:abstractNumId w:val="28"/>
  </w:num>
  <w:num w:numId="23">
    <w:abstractNumId w:val="19"/>
  </w:num>
  <w:num w:numId="24">
    <w:abstractNumId w:val="4"/>
  </w:num>
  <w:num w:numId="25">
    <w:abstractNumId w:val="29"/>
  </w:num>
  <w:num w:numId="26">
    <w:abstractNumId w:val="24"/>
  </w:num>
  <w:num w:numId="27">
    <w:abstractNumId w:val="25"/>
  </w:num>
  <w:num w:numId="28">
    <w:abstractNumId w:val="15"/>
  </w:num>
  <w:num w:numId="29">
    <w:abstractNumId w:val="20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20"/>
  <w:characterSpacingControl w:val="doNotCompress"/>
  <w:hdrShapeDefaults>
    <o:shapedefaults v:ext="edit" spidmax="41986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uthor-Date Copy Mai&lt;/Style&gt;&lt;LeftDelim&gt;{&lt;/LeftDelim&gt;&lt;RightDelim&gt;}&lt;/RightDelim&gt;&lt;FontName&gt;Times New Roman&lt;/FontName&gt;&lt;FontSize&gt;14&lt;/FontSize&gt;&lt;ReflistTitle&gt;&lt;style face=&quot;bold&quot; size=&quot;16&quot;&gt;References&lt;/style&gt;&lt;/ReflistTitle&gt;&lt;StartingRefnum&gt;1&lt;/StartingRefnum&gt;&lt;FirstLineIndent&gt;0&lt;/FirstLineIndent&gt;&lt;HangingIndent&gt;720&lt;/HangingIndent&gt;&lt;LineSpacing&gt;0&lt;/LineSpacing&gt;&lt;SpaceAfter&gt;2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vsze9sdaawvsberadsv5v95raze9ve05az5&quot;&gt;Mai refrences Copy&lt;record-ids&gt;&lt;item&gt;6&lt;/item&gt;&lt;item&gt;11&lt;/item&gt;&lt;item&gt;12&lt;/item&gt;&lt;item&gt;16&lt;/item&gt;&lt;item&gt;440&lt;/item&gt;&lt;item&gt;489&lt;/item&gt;&lt;item&gt;490&lt;/item&gt;&lt;item&gt;491&lt;/item&gt;&lt;item&gt;492&lt;/item&gt;&lt;item&gt;493&lt;/item&gt;&lt;item&gt;495&lt;/item&gt;&lt;item&gt;497&lt;/item&gt;&lt;item&gt;498&lt;/item&gt;&lt;item&gt;499&lt;/item&gt;&lt;item&gt;500&lt;/item&gt;&lt;item&gt;501&lt;/item&gt;&lt;item&gt;502&lt;/item&gt;&lt;item&gt;503&lt;/item&gt;&lt;item&gt;504&lt;/item&gt;&lt;item&gt;506&lt;/item&gt;&lt;item&gt;507&lt;/item&gt;&lt;item&gt;508&lt;/item&gt;&lt;item&gt;509&lt;/item&gt;&lt;item&gt;510&lt;/item&gt;&lt;item&gt;511&lt;/item&gt;&lt;item&gt;513&lt;/item&gt;&lt;item&gt;514&lt;/item&gt;&lt;item&gt;515&lt;/item&gt;&lt;item&gt;516&lt;/item&gt;&lt;item&gt;517&lt;/item&gt;&lt;item&gt;518&lt;/item&gt;&lt;item&gt;519&lt;/item&gt;&lt;item&gt;521&lt;/item&gt;&lt;item&gt;522&lt;/item&gt;&lt;item&gt;523&lt;/item&gt;&lt;item&gt;524&lt;/item&gt;&lt;item&gt;525&lt;/item&gt;&lt;item&gt;526&lt;/item&gt;&lt;item&gt;527&lt;/item&gt;&lt;item&gt;529&lt;/item&gt;&lt;item&gt;533&lt;/item&gt;&lt;item&gt;534&lt;/item&gt;&lt;item&gt;535&lt;/item&gt;&lt;item&gt;536&lt;/item&gt;&lt;item&gt;537&lt;/item&gt;&lt;item&gt;542&lt;/item&gt;&lt;item&gt;543&lt;/item&gt;&lt;item&gt;549&lt;/item&gt;&lt;item&gt;552&lt;/item&gt;&lt;item&gt;558&lt;/item&gt;&lt;item&gt;559&lt;/item&gt;&lt;item&gt;560&lt;/item&gt;&lt;item&gt;561&lt;/item&gt;&lt;item&gt;563&lt;/item&gt;&lt;item&gt;599&lt;/item&gt;&lt;item&gt;600&lt;/item&gt;&lt;item&gt;601&lt;/item&gt;&lt;item&gt;602&lt;/item&gt;&lt;item&gt;603&lt;/item&gt;&lt;item&gt;605&lt;/item&gt;&lt;item&gt;606&lt;/item&gt;&lt;item&gt;607&lt;/item&gt;&lt;item&gt;608&lt;/item&gt;&lt;item&gt;609&lt;/item&gt;&lt;item&gt;610&lt;/item&gt;&lt;item&gt;611&lt;/item&gt;&lt;item&gt;613&lt;/item&gt;&lt;item&gt;614&lt;/item&gt;&lt;item&gt;615&lt;/item&gt;&lt;item&gt;616&lt;/item&gt;&lt;item&gt;617&lt;/item&gt;&lt;item&gt;618&lt;/item&gt;&lt;item&gt;620&lt;/item&gt;&lt;item&gt;621&lt;/item&gt;&lt;item&gt;622&lt;/item&gt;&lt;item&gt;624&lt;/item&gt;&lt;item&gt;625&lt;/item&gt;&lt;item&gt;626&lt;/item&gt;&lt;item&gt;630&lt;/item&gt;&lt;item&gt;631&lt;/item&gt;&lt;item&gt;633&lt;/item&gt;&lt;item&gt;634&lt;/item&gt;&lt;item&gt;635&lt;/item&gt;&lt;item&gt;636&lt;/item&gt;&lt;item&gt;637&lt;/item&gt;&lt;item&gt;638&lt;/item&gt;&lt;item&gt;639&lt;/item&gt;&lt;item&gt;640&lt;/item&gt;&lt;item&gt;641&lt;/item&gt;&lt;item&gt;642&lt;/item&gt;&lt;item&gt;643&lt;/item&gt;&lt;item&gt;644&lt;/item&gt;&lt;item&gt;646&lt;/item&gt;&lt;item&gt;648&lt;/item&gt;&lt;item&gt;649&lt;/item&gt;&lt;item&gt;650&lt;/item&gt;&lt;item&gt;651&lt;/item&gt;&lt;item&gt;653&lt;/item&gt;&lt;item&gt;654&lt;/item&gt;&lt;item&gt;655&lt;/item&gt;&lt;item&gt;656&lt;/item&gt;&lt;item&gt;660&lt;/item&gt;&lt;item&gt;661&lt;/item&gt;&lt;item&gt;662&lt;/item&gt;&lt;item&gt;663&lt;/item&gt;&lt;item&gt;665&lt;/item&gt;&lt;item&gt;666&lt;/item&gt;&lt;item&gt;667&lt;/item&gt;&lt;item&gt;668&lt;/item&gt;&lt;item&gt;669&lt;/item&gt;&lt;item&gt;671&lt;/item&gt;&lt;item&gt;672&lt;/item&gt;&lt;item&gt;673&lt;/item&gt;&lt;item&gt;674&lt;/item&gt;&lt;item&gt;675&lt;/item&gt;&lt;item&gt;676&lt;/item&gt;&lt;item&gt;758&lt;/item&gt;&lt;item&gt;759&lt;/item&gt;&lt;item&gt;761&lt;/item&gt;&lt;item&gt;762&lt;/item&gt;&lt;item&gt;763&lt;/item&gt;&lt;item&gt;764&lt;/item&gt;&lt;item&gt;766&lt;/item&gt;&lt;item&gt;767&lt;/item&gt;&lt;item&gt;768&lt;/item&gt;&lt;item&gt;769&lt;/item&gt;&lt;item&gt;770&lt;/item&gt;&lt;item&gt;771&lt;/item&gt;&lt;item&gt;772&lt;/item&gt;&lt;item&gt;775&lt;/item&gt;&lt;item&gt;776&lt;/item&gt;&lt;item&gt;777&lt;/item&gt;&lt;item&gt;782&lt;/item&gt;&lt;/record-ids&gt;&lt;/item&gt;&lt;/Libraries&gt;"/>
  </w:docVars>
  <w:rsids>
    <w:rsidRoot w:val="00516E75"/>
    <w:rsid w:val="00005654"/>
    <w:rsid w:val="000108BD"/>
    <w:rsid w:val="0001294E"/>
    <w:rsid w:val="0002037E"/>
    <w:rsid w:val="0003444B"/>
    <w:rsid w:val="0003609B"/>
    <w:rsid w:val="00047A31"/>
    <w:rsid w:val="00066AEA"/>
    <w:rsid w:val="00072D52"/>
    <w:rsid w:val="00093464"/>
    <w:rsid w:val="000963D6"/>
    <w:rsid w:val="000A772B"/>
    <w:rsid w:val="000B1282"/>
    <w:rsid w:val="000C1AAB"/>
    <w:rsid w:val="000C25D3"/>
    <w:rsid w:val="000D0304"/>
    <w:rsid w:val="000D1793"/>
    <w:rsid w:val="000D4296"/>
    <w:rsid w:val="000E5261"/>
    <w:rsid w:val="000E569C"/>
    <w:rsid w:val="000E74D5"/>
    <w:rsid w:val="0010059E"/>
    <w:rsid w:val="0010417D"/>
    <w:rsid w:val="001103CB"/>
    <w:rsid w:val="00124C4A"/>
    <w:rsid w:val="001332DE"/>
    <w:rsid w:val="00140102"/>
    <w:rsid w:val="001674F0"/>
    <w:rsid w:val="00192633"/>
    <w:rsid w:val="001A12C4"/>
    <w:rsid w:val="001B1AF7"/>
    <w:rsid w:val="001B1BAC"/>
    <w:rsid w:val="001D2CC5"/>
    <w:rsid w:val="001D6325"/>
    <w:rsid w:val="001E26D4"/>
    <w:rsid w:val="001E589F"/>
    <w:rsid w:val="002007E4"/>
    <w:rsid w:val="0020113A"/>
    <w:rsid w:val="00215855"/>
    <w:rsid w:val="002250B0"/>
    <w:rsid w:val="0023248A"/>
    <w:rsid w:val="00233139"/>
    <w:rsid w:val="00234749"/>
    <w:rsid w:val="002414DB"/>
    <w:rsid w:val="00243487"/>
    <w:rsid w:val="00252D3B"/>
    <w:rsid w:val="00265C8C"/>
    <w:rsid w:val="00270137"/>
    <w:rsid w:val="00270CB2"/>
    <w:rsid w:val="00271E3F"/>
    <w:rsid w:val="00290DC3"/>
    <w:rsid w:val="002A0107"/>
    <w:rsid w:val="002A1067"/>
    <w:rsid w:val="002C02AF"/>
    <w:rsid w:val="002D1DF7"/>
    <w:rsid w:val="002D3391"/>
    <w:rsid w:val="002E63B6"/>
    <w:rsid w:val="00304F95"/>
    <w:rsid w:val="00305050"/>
    <w:rsid w:val="00354E15"/>
    <w:rsid w:val="00356AE8"/>
    <w:rsid w:val="00364876"/>
    <w:rsid w:val="00380E4B"/>
    <w:rsid w:val="00382647"/>
    <w:rsid w:val="0038328B"/>
    <w:rsid w:val="003A0B28"/>
    <w:rsid w:val="003F2F43"/>
    <w:rsid w:val="00406E85"/>
    <w:rsid w:val="00431820"/>
    <w:rsid w:val="004344B3"/>
    <w:rsid w:val="00476A85"/>
    <w:rsid w:val="00482A70"/>
    <w:rsid w:val="00491CB5"/>
    <w:rsid w:val="00491D0F"/>
    <w:rsid w:val="004941CF"/>
    <w:rsid w:val="004C3480"/>
    <w:rsid w:val="004C5EE3"/>
    <w:rsid w:val="004D0BB7"/>
    <w:rsid w:val="004D5295"/>
    <w:rsid w:val="004E172F"/>
    <w:rsid w:val="004E4243"/>
    <w:rsid w:val="004F488F"/>
    <w:rsid w:val="004F7B14"/>
    <w:rsid w:val="00504590"/>
    <w:rsid w:val="00516E75"/>
    <w:rsid w:val="00524097"/>
    <w:rsid w:val="00531162"/>
    <w:rsid w:val="00551018"/>
    <w:rsid w:val="0058389A"/>
    <w:rsid w:val="0058439C"/>
    <w:rsid w:val="005B2A08"/>
    <w:rsid w:val="005D34AD"/>
    <w:rsid w:val="005D541D"/>
    <w:rsid w:val="005E4D66"/>
    <w:rsid w:val="00601EA2"/>
    <w:rsid w:val="0061418A"/>
    <w:rsid w:val="00631BAE"/>
    <w:rsid w:val="0063508E"/>
    <w:rsid w:val="00662FF7"/>
    <w:rsid w:val="00665126"/>
    <w:rsid w:val="00672D8E"/>
    <w:rsid w:val="0067585F"/>
    <w:rsid w:val="00684831"/>
    <w:rsid w:val="00691760"/>
    <w:rsid w:val="006A5B45"/>
    <w:rsid w:val="006B76A3"/>
    <w:rsid w:val="006D30E9"/>
    <w:rsid w:val="006E071A"/>
    <w:rsid w:val="006F5F29"/>
    <w:rsid w:val="007107DD"/>
    <w:rsid w:val="007205B3"/>
    <w:rsid w:val="00724E4A"/>
    <w:rsid w:val="00742A91"/>
    <w:rsid w:val="00752322"/>
    <w:rsid w:val="00752474"/>
    <w:rsid w:val="00761DB2"/>
    <w:rsid w:val="0077354B"/>
    <w:rsid w:val="00776B13"/>
    <w:rsid w:val="00776CF4"/>
    <w:rsid w:val="00780047"/>
    <w:rsid w:val="00785480"/>
    <w:rsid w:val="00796CE4"/>
    <w:rsid w:val="007B064C"/>
    <w:rsid w:val="007B3D52"/>
    <w:rsid w:val="008000D9"/>
    <w:rsid w:val="008130FB"/>
    <w:rsid w:val="00815BAE"/>
    <w:rsid w:val="0082502F"/>
    <w:rsid w:val="00825A1D"/>
    <w:rsid w:val="00855652"/>
    <w:rsid w:val="00861296"/>
    <w:rsid w:val="008720E7"/>
    <w:rsid w:val="00875449"/>
    <w:rsid w:val="0089587F"/>
    <w:rsid w:val="008C2AC6"/>
    <w:rsid w:val="008D36AF"/>
    <w:rsid w:val="008D455A"/>
    <w:rsid w:val="008E1255"/>
    <w:rsid w:val="00905DDC"/>
    <w:rsid w:val="00907867"/>
    <w:rsid w:val="009105BC"/>
    <w:rsid w:val="00923F5C"/>
    <w:rsid w:val="009264BE"/>
    <w:rsid w:val="00931DF4"/>
    <w:rsid w:val="009404B8"/>
    <w:rsid w:val="00942AE7"/>
    <w:rsid w:val="00945CF1"/>
    <w:rsid w:val="00953E57"/>
    <w:rsid w:val="0095650E"/>
    <w:rsid w:val="00980D4C"/>
    <w:rsid w:val="00993730"/>
    <w:rsid w:val="009937AA"/>
    <w:rsid w:val="009966DC"/>
    <w:rsid w:val="009A18DE"/>
    <w:rsid w:val="009A4B47"/>
    <w:rsid w:val="009C7A3E"/>
    <w:rsid w:val="009D2312"/>
    <w:rsid w:val="009E2ECB"/>
    <w:rsid w:val="009E2EF4"/>
    <w:rsid w:val="009E45CD"/>
    <w:rsid w:val="009E6A83"/>
    <w:rsid w:val="009F67B2"/>
    <w:rsid w:val="00A06672"/>
    <w:rsid w:val="00A06679"/>
    <w:rsid w:val="00A06E68"/>
    <w:rsid w:val="00A13C2A"/>
    <w:rsid w:val="00A1451E"/>
    <w:rsid w:val="00A243B0"/>
    <w:rsid w:val="00A326EE"/>
    <w:rsid w:val="00A3396B"/>
    <w:rsid w:val="00A33B84"/>
    <w:rsid w:val="00A36EB8"/>
    <w:rsid w:val="00A375F2"/>
    <w:rsid w:val="00A453CE"/>
    <w:rsid w:val="00A5137E"/>
    <w:rsid w:val="00A5567F"/>
    <w:rsid w:val="00A56ACB"/>
    <w:rsid w:val="00A60C76"/>
    <w:rsid w:val="00A70230"/>
    <w:rsid w:val="00A714DE"/>
    <w:rsid w:val="00A7692D"/>
    <w:rsid w:val="00A76973"/>
    <w:rsid w:val="00A87697"/>
    <w:rsid w:val="00A9579D"/>
    <w:rsid w:val="00AA181F"/>
    <w:rsid w:val="00AB27D8"/>
    <w:rsid w:val="00AB62FF"/>
    <w:rsid w:val="00AC0A0F"/>
    <w:rsid w:val="00AD3BED"/>
    <w:rsid w:val="00AE62C5"/>
    <w:rsid w:val="00AF0676"/>
    <w:rsid w:val="00AF1E89"/>
    <w:rsid w:val="00B36E89"/>
    <w:rsid w:val="00B443DF"/>
    <w:rsid w:val="00B55434"/>
    <w:rsid w:val="00B63020"/>
    <w:rsid w:val="00B745C6"/>
    <w:rsid w:val="00B852AC"/>
    <w:rsid w:val="00B95CB6"/>
    <w:rsid w:val="00BB1B09"/>
    <w:rsid w:val="00BB4587"/>
    <w:rsid w:val="00BC6CBB"/>
    <w:rsid w:val="00BD5B4A"/>
    <w:rsid w:val="00BE50B3"/>
    <w:rsid w:val="00BF189C"/>
    <w:rsid w:val="00BF1918"/>
    <w:rsid w:val="00C01939"/>
    <w:rsid w:val="00C022B4"/>
    <w:rsid w:val="00C22A5B"/>
    <w:rsid w:val="00C31741"/>
    <w:rsid w:val="00C33BFE"/>
    <w:rsid w:val="00C33DD4"/>
    <w:rsid w:val="00C35614"/>
    <w:rsid w:val="00C52827"/>
    <w:rsid w:val="00C532C7"/>
    <w:rsid w:val="00C53C6E"/>
    <w:rsid w:val="00C618EF"/>
    <w:rsid w:val="00C65678"/>
    <w:rsid w:val="00C66BD7"/>
    <w:rsid w:val="00CA0F2A"/>
    <w:rsid w:val="00CC094C"/>
    <w:rsid w:val="00CE1D23"/>
    <w:rsid w:val="00CF4F8C"/>
    <w:rsid w:val="00D02AEF"/>
    <w:rsid w:val="00D11720"/>
    <w:rsid w:val="00D259D2"/>
    <w:rsid w:val="00D451F1"/>
    <w:rsid w:val="00D70E96"/>
    <w:rsid w:val="00D71BC7"/>
    <w:rsid w:val="00D87AC1"/>
    <w:rsid w:val="00D95DAD"/>
    <w:rsid w:val="00D9756B"/>
    <w:rsid w:val="00DA3A57"/>
    <w:rsid w:val="00DD0DAF"/>
    <w:rsid w:val="00DD2ED2"/>
    <w:rsid w:val="00DE7D0E"/>
    <w:rsid w:val="00DF1C8F"/>
    <w:rsid w:val="00DF333F"/>
    <w:rsid w:val="00E07718"/>
    <w:rsid w:val="00E11582"/>
    <w:rsid w:val="00E21D61"/>
    <w:rsid w:val="00E33964"/>
    <w:rsid w:val="00E41534"/>
    <w:rsid w:val="00E51198"/>
    <w:rsid w:val="00E511EC"/>
    <w:rsid w:val="00E55D54"/>
    <w:rsid w:val="00E564A7"/>
    <w:rsid w:val="00E91452"/>
    <w:rsid w:val="00EA79D8"/>
    <w:rsid w:val="00EB565F"/>
    <w:rsid w:val="00EC6561"/>
    <w:rsid w:val="00EE3923"/>
    <w:rsid w:val="00F15F69"/>
    <w:rsid w:val="00F43A79"/>
    <w:rsid w:val="00F5200D"/>
    <w:rsid w:val="00F635F1"/>
    <w:rsid w:val="00F91B29"/>
    <w:rsid w:val="00FA1352"/>
    <w:rsid w:val="00FA4EE2"/>
    <w:rsid w:val="00FE0E96"/>
    <w:rsid w:val="00FE14D9"/>
    <w:rsid w:val="00FE3739"/>
    <w:rsid w:val="00FE413B"/>
    <w:rsid w:val="00FE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75"/>
    <w:pPr>
      <w:spacing w:before="240" w:after="240" w:line="360" w:lineRule="auto"/>
      <w:ind w:firstLine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16E75"/>
  </w:style>
  <w:style w:type="paragraph" w:styleId="BalloonText">
    <w:name w:val="Balloon Text"/>
    <w:basedOn w:val="Normal"/>
    <w:link w:val="BalloonTextChar"/>
    <w:uiPriority w:val="99"/>
    <w:semiHidden/>
    <w:unhideWhenUsed/>
    <w:rsid w:val="00516E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75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516E75"/>
    <w:pPr>
      <w:spacing w:after="0"/>
      <w:jc w:val="center"/>
    </w:pPr>
    <w:rPr>
      <w:rFonts w:ascii="Times New Roman" w:hAnsi="Times New Roman" w:cs="Times New Roman"/>
      <w:noProof/>
      <w:sz w:val="2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16E75"/>
    <w:rPr>
      <w:rFonts w:ascii="Times New Roman" w:hAnsi="Times New Roman" w:cs="Times New Roman"/>
      <w:noProof/>
      <w:sz w:val="28"/>
    </w:rPr>
  </w:style>
  <w:style w:type="paragraph" w:customStyle="1" w:styleId="EndNoteBibliography">
    <w:name w:val="EndNote Bibliography"/>
    <w:basedOn w:val="Normal"/>
    <w:link w:val="EndNoteBibliographyChar"/>
    <w:rsid w:val="00516E75"/>
    <w:pPr>
      <w:spacing w:line="240" w:lineRule="auto"/>
    </w:pPr>
    <w:rPr>
      <w:rFonts w:ascii="Times New Roman" w:hAnsi="Times New Roman" w:cs="Times New Roman"/>
      <w:noProof/>
      <w:sz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516E75"/>
    <w:rPr>
      <w:rFonts w:ascii="Times New Roman" w:hAnsi="Times New Roman" w:cs="Times New Roman"/>
      <w:noProof/>
      <w:sz w:val="28"/>
    </w:rPr>
  </w:style>
  <w:style w:type="character" w:styleId="Hyperlink">
    <w:name w:val="Hyperlink"/>
    <w:basedOn w:val="DefaultParagraphFont"/>
    <w:uiPriority w:val="99"/>
    <w:unhideWhenUsed/>
    <w:rsid w:val="00516E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05BC"/>
    <w:pPr>
      <w:spacing w:before="0" w:after="200" w:line="276" w:lineRule="auto"/>
      <w:ind w:left="720" w:firstLine="0"/>
      <w:contextualSpacing/>
      <w:jc w:val="left"/>
    </w:pPr>
  </w:style>
  <w:style w:type="table" w:styleId="TableGrid">
    <w:name w:val="Table Grid"/>
    <w:basedOn w:val="TableNormal"/>
    <w:uiPriority w:val="59"/>
    <w:rsid w:val="009105BC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DefaultParagraphFont"/>
    <w:rsid w:val="006D30E9"/>
  </w:style>
  <w:style w:type="character" w:customStyle="1" w:styleId="caps">
    <w:name w:val="caps"/>
    <w:basedOn w:val="DefaultParagraphFont"/>
    <w:rsid w:val="00E564A7"/>
  </w:style>
  <w:style w:type="character" w:customStyle="1" w:styleId="text">
    <w:name w:val="text"/>
    <w:basedOn w:val="DefaultParagraphFont"/>
    <w:rsid w:val="00E564A7"/>
  </w:style>
  <w:style w:type="paragraph" w:styleId="Header">
    <w:name w:val="header"/>
    <w:basedOn w:val="Normal"/>
    <w:link w:val="HeaderChar"/>
    <w:uiPriority w:val="99"/>
    <w:unhideWhenUsed/>
    <w:rsid w:val="0078004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047"/>
  </w:style>
  <w:style w:type="paragraph" w:styleId="Footer">
    <w:name w:val="footer"/>
    <w:basedOn w:val="Normal"/>
    <w:link w:val="FooterChar"/>
    <w:uiPriority w:val="99"/>
    <w:unhideWhenUsed/>
    <w:rsid w:val="0078004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47"/>
  </w:style>
  <w:style w:type="paragraph" w:customStyle="1" w:styleId="wp-caption-text">
    <w:name w:val="wp-caption-text"/>
    <w:basedOn w:val="Normal"/>
    <w:rsid w:val="000D4296"/>
    <w:pPr>
      <w:spacing w:before="192" w:after="192" w:line="396" w:lineRule="auto"/>
      <w:ind w:left="89" w:right="89" w:firstLine="0"/>
      <w:jc w:val="left"/>
    </w:pPr>
    <w:rPr>
      <w:rFonts w:ascii="Verdana" w:eastAsia="Times New Roman" w:hAnsi="Verdana" w:cs="Times New Roman"/>
      <w:sz w:val="23"/>
      <w:szCs w:val="23"/>
    </w:rPr>
  </w:style>
  <w:style w:type="paragraph" w:customStyle="1" w:styleId="Default">
    <w:name w:val="Default"/>
    <w:rsid w:val="000D42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B443DF"/>
    <w:pPr>
      <w:spacing w:before="0" w:after="0" w:line="240" w:lineRule="auto"/>
      <w:ind w:firstLine="0"/>
    </w:pPr>
    <w:rPr>
      <w:rFonts w:ascii="Times New Roman" w:eastAsia="Times New Roman" w:hAnsi="Times New Roman" w:cs="Traditional Arabic"/>
      <w:color w:val="000000"/>
      <w:sz w:val="28"/>
      <w:szCs w:val="36"/>
    </w:rPr>
  </w:style>
  <w:style w:type="character" w:customStyle="1" w:styleId="BodyTextChar">
    <w:name w:val="Body Text Char"/>
    <w:basedOn w:val="DefaultParagraphFont"/>
    <w:link w:val="BodyText"/>
    <w:rsid w:val="00B443DF"/>
    <w:rPr>
      <w:rFonts w:ascii="Times New Roman" w:eastAsia="Times New Roman" w:hAnsi="Times New Roman" w:cs="Traditional Arabic"/>
      <w:color w:val="000000"/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75"/>
    <w:pPr>
      <w:spacing w:before="240" w:after="240" w:line="360" w:lineRule="auto"/>
      <w:ind w:firstLine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16E75"/>
  </w:style>
  <w:style w:type="paragraph" w:styleId="BalloonText">
    <w:name w:val="Balloon Text"/>
    <w:basedOn w:val="Normal"/>
    <w:link w:val="BalloonTextChar"/>
    <w:uiPriority w:val="99"/>
    <w:semiHidden/>
    <w:unhideWhenUsed/>
    <w:rsid w:val="00516E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75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516E75"/>
    <w:pPr>
      <w:spacing w:after="0"/>
      <w:jc w:val="center"/>
    </w:pPr>
    <w:rPr>
      <w:rFonts w:ascii="Times New Roman" w:hAnsi="Times New Roman" w:cs="Times New Roman"/>
      <w:noProof/>
      <w:sz w:val="2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16E75"/>
    <w:rPr>
      <w:rFonts w:ascii="Times New Roman" w:hAnsi="Times New Roman" w:cs="Times New Roman"/>
      <w:noProof/>
      <w:sz w:val="28"/>
    </w:rPr>
  </w:style>
  <w:style w:type="paragraph" w:customStyle="1" w:styleId="EndNoteBibliography">
    <w:name w:val="EndNote Bibliography"/>
    <w:basedOn w:val="Normal"/>
    <w:link w:val="EndNoteBibliographyChar"/>
    <w:rsid w:val="00516E75"/>
    <w:pPr>
      <w:spacing w:line="240" w:lineRule="auto"/>
    </w:pPr>
    <w:rPr>
      <w:rFonts w:ascii="Times New Roman" w:hAnsi="Times New Roman" w:cs="Times New Roman"/>
      <w:noProof/>
      <w:sz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516E75"/>
    <w:rPr>
      <w:rFonts w:ascii="Times New Roman" w:hAnsi="Times New Roman" w:cs="Times New Roman"/>
      <w:noProof/>
      <w:sz w:val="28"/>
    </w:rPr>
  </w:style>
  <w:style w:type="character" w:styleId="Hyperlink">
    <w:name w:val="Hyperlink"/>
    <w:basedOn w:val="DefaultParagraphFont"/>
    <w:uiPriority w:val="99"/>
    <w:unhideWhenUsed/>
    <w:rsid w:val="00516E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05BC"/>
    <w:pPr>
      <w:spacing w:before="0" w:after="200" w:line="276" w:lineRule="auto"/>
      <w:ind w:left="720" w:firstLine="0"/>
      <w:contextualSpacing/>
      <w:jc w:val="left"/>
    </w:pPr>
  </w:style>
  <w:style w:type="table" w:styleId="TableGrid">
    <w:name w:val="Table Grid"/>
    <w:basedOn w:val="TableNormal"/>
    <w:uiPriority w:val="39"/>
    <w:rsid w:val="009105BC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DefaultParagraphFont"/>
    <w:rsid w:val="006D30E9"/>
  </w:style>
  <w:style w:type="character" w:customStyle="1" w:styleId="caps">
    <w:name w:val="caps"/>
    <w:basedOn w:val="DefaultParagraphFont"/>
    <w:rsid w:val="00E564A7"/>
  </w:style>
  <w:style w:type="character" w:customStyle="1" w:styleId="text">
    <w:name w:val="text"/>
    <w:basedOn w:val="DefaultParagraphFont"/>
    <w:rsid w:val="00E564A7"/>
  </w:style>
  <w:style w:type="paragraph" w:styleId="Header">
    <w:name w:val="header"/>
    <w:basedOn w:val="Normal"/>
    <w:link w:val="HeaderChar"/>
    <w:uiPriority w:val="99"/>
    <w:unhideWhenUsed/>
    <w:rsid w:val="0078004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047"/>
  </w:style>
  <w:style w:type="paragraph" w:styleId="Footer">
    <w:name w:val="footer"/>
    <w:basedOn w:val="Normal"/>
    <w:link w:val="FooterChar"/>
    <w:uiPriority w:val="99"/>
    <w:unhideWhenUsed/>
    <w:rsid w:val="0078004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3993-0FAD-456B-88CA-ABD1C824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A-T</dc:creator>
  <cp:lastModifiedBy>M.abdelbaset</cp:lastModifiedBy>
  <cp:revision>39</cp:revision>
  <dcterms:created xsi:type="dcterms:W3CDTF">2014-11-02T19:07:00Z</dcterms:created>
  <dcterms:modified xsi:type="dcterms:W3CDTF">2015-08-08T09:41:00Z</dcterms:modified>
</cp:coreProperties>
</file>