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57" w:rsidRPr="00202C57" w:rsidRDefault="00202C57" w:rsidP="00202C57">
      <w:pPr>
        <w:bidi w:val="0"/>
        <w:jc w:val="both"/>
        <w:rPr>
          <w:rFonts w:asciiTheme="majorBidi" w:hAnsiTheme="majorBidi" w:cstheme="majorBidi"/>
        </w:rPr>
      </w:pPr>
      <w:proofErr w:type="spellStart"/>
      <w:r w:rsidRPr="00202C57">
        <w:rPr>
          <w:rFonts w:asciiTheme="majorBidi" w:hAnsiTheme="majorBidi" w:cstheme="majorBidi"/>
          <w:b/>
          <w:bCs/>
        </w:rPr>
        <w:t>Journal:</w:t>
      </w:r>
      <w:r w:rsidRPr="00202C57">
        <w:rPr>
          <w:rFonts w:asciiTheme="majorBidi" w:hAnsiTheme="majorBidi" w:cstheme="majorBidi"/>
        </w:rPr>
        <w:t>Environmental</w:t>
      </w:r>
      <w:proofErr w:type="spellEnd"/>
      <w:r w:rsidRPr="00202C57">
        <w:rPr>
          <w:rFonts w:asciiTheme="majorBidi" w:hAnsiTheme="majorBidi" w:cstheme="majorBidi"/>
        </w:rPr>
        <w:t xml:space="preserve"> Science and Pollution Research (2019), 26:1954–1961</w:t>
      </w:r>
    </w:p>
    <w:p w:rsidR="00202C57" w:rsidRDefault="00B63B46" w:rsidP="00202C57">
      <w:pPr>
        <w:bidi w:val="0"/>
        <w:jc w:val="both"/>
      </w:pPr>
      <w:hyperlink r:id="rId4" w:history="1">
        <w:r w:rsidR="00387A1D" w:rsidRPr="00444109">
          <w:rPr>
            <w:rStyle w:val="Hyperlink"/>
            <w:rFonts w:asciiTheme="majorBidi" w:hAnsiTheme="majorBidi" w:cstheme="majorBidi"/>
          </w:rPr>
          <w:t>https://doi.org/10.1007/s11356-018-3773-5</w:t>
        </w:r>
      </w:hyperlink>
    </w:p>
    <w:p w:rsidR="00D00452" w:rsidRPr="00D00452" w:rsidRDefault="00D00452" w:rsidP="00D00452">
      <w:pPr>
        <w:jc w:val="center"/>
        <w:rPr>
          <w:rFonts w:asciiTheme="majorBidi" w:hAnsiTheme="majorBidi" w:cstheme="majorBidi"/>
          <w:b/>
          <w:bCs/>
          <w:sz w:val="28"/>
          <w:szCs w:val="28"/>
        </w:rPr>
      </w:pPr>
      <w:r w:rsidRPr="00D00452">
        <w:rPr>
          <w:rStyle w:val="tlid-translation"/>
          <w:rFonts w:asciiTheme="majorBidi" w:hAnsiTheme="majorBidi" w:cstheme="majorBidi"/>
          <w:b/>
          <w:bCs/>
          <w:sz w:val="28"/>
          <w:szCs w:val="28"/>
          <w:rtl/>
        </w:rPr>
        <w:t>منهج جديد للتحكم بمقاومة الليستريا المستوحدة لمضادات الميكروبات باستخدام أنواع مختلفة من المطهرات المحملة على جسيمات الفضة النانوية</w:t>
      </w:r>
      <w:r w:rsidRPr="00D00452">
        <w:rPr>
          <w:rStyle w:val="tlid-translation"/>
          <w:rFonts w:asciiTheme="majorBidi" w:hAnsiTheme="majorBidi" w:cstheme="majorBidi"/>
          <w:b/>
          <w:bCs/>
          <w:sz w:val="28"/>
          <w:szCs w:val="28"/>
        </w:rPr>
        <w:t xml:space="preserve"> (</w:t>
      </w:r>
      <w:proofErr w:type="spellStart"/>
      <w:r w:rsidRPr="00D00452">
        <w:rPr>
          <w:rStyle w:val="tlid-translation"/>
          <w:rFonts w:asciiTheme="majorBidi" w:hAnsiTheme="majorBidi" w:cstheme="majorBidi"/>
          <w:b/>
          <w:bCs/>
          <w:sz w:val="28"/>
          <w:szCs w:val="28"/>
        </w:rPr>
        <w:t>AgNPs</w:t>
      </w:r>
      <w:proofErr w:type="spellEnd"/>
      <w:r w:rsidRPr="00D00452">
        <w:rPr>
          <w:rStyle w:val="tlid-translation"/>
          <w:rFonts w:asciiTheme="majorBidi" w:hAnsiTheme="majorBidi" w:cstheme="majorBidi"/>
          <w:b/>
          <w:bCs/>
          <w:sz w:val="28"/>
          <w:szCs w:val="28"/>
        </w:rPr>
        <w:t>)</w:t>
      </w:r>
    </w:p>
    <w:p w:rsidR="00387A1D" w:rsidRPr="00387A1D" w:rsidRDefault="00387A1D" w:rsidP="00387A1D">
      <w:pPr>
        <w:jc w:val="both"/>
        <w:rPr>
          <w:rFonts w:asciiTheme="majorBidi" w:hAnsiTheme="majorBidi" w:cstheme="majorBidi"/>
          <w:b/>
          <w:bCs/>
          <w:sz w:val="28"/>
          <w:szCs w:val="28"/>
          <w:u w:val="single"/>
        </w:rPr>
      </w:pPr>
      <w:bookmarkStart w:id="0" w:name="_GoBack"/>
      <w:r w:rsidRPr="00387A1D">
        <w:rPr>
          <w:rFonts w:asciiTheme="majorBidi" w:hAnsiTheme="majorBidi" w:cstheme="majorBidi" w:hint="cs"/>
          <w:b/>
          <w:bCs/>
          <w:sz w:val="28"/>
          <w:szCs w:val="28"/>
          <w:u w:val="single"/>
          <w:rtl/>
        </w:rPr>
        <w:t>الملخص العربي:</w:t>
      </w:r>
    </w:p>
    <w:bookmarkEnd w:id="0"/>
    <w:p w:rsidR="00387A1D" w:rsidRPr="00387A1D" w:rsidRDefault="00387A1D" w:rsidP="0038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rPr>
      </w:pPr>
      <w:r w:rsidRPr="00387A1D">
        <w:rPr>
          <w:rFonts w:asciiTheme="majorBidi" w:eastAsia="Times New Roman" w:hAnsiTheme="majorBidi" w:cstheme="majorBidi"/>
          <w:color w:val="212121"/>
          <w:sz w:val="24"/>
          <w:szCs w:val="24"/>
          <w:rtl/>
          <w:lang/>
        </w:rPr>
        <w:t>إن الاستخدام المشترك للجسيمات النانوية الفضية (</w:t>
      </w:r>
      <w:proofErr w:type="spellStart"/>
      <w:r w:rsidRPr="00387A1D">
        <w:rPr>
          <w:rFonts w:asciiTheme="majorBidi" w:eastAsia="Times New Roman" w:hAnsiTheme="majorBidi" w:cstheme="majorBidi"/>
          <w:color w:val="212121"/>
          <w:sz w:val="24"/>
          <w:szCs w:val="24"/>
          <w:lang/>
        </w:rPr>
        <w:t>AgNPs</w:t>
      </w:r>
      <w:proofErr w:type="spellEnd"/>
      <w:r w:rsidRPr="00387A1D">
        <w:rPr>
          <w:rFonts w:asciiTheme="majorBidi" w:eastAsia="Times New Roman" w:hAnsiTheme="majorBidi" w:cstheme="majorBidi"/>
          <w:color w:val="212121"/>
          <w:sz w:val="24"/>
          <w:szCs w:val="24"/>
          <w:rtl/>
          <w:lang/>
        </w:rPr>
        <w:t>) مع أنواع مختلفة من المطهرات كمضاد للميكروبات قد يكون مفيدا في التخفيف من مشكلة تطور المقاومة البكتيرية مع تعزيز قوي للتأثير البيولوجي للمطهرات. لتقييم نشاط المبيدات الحيوية من جسيمات الفضة النانوية وأشكالها المحملة ، تم استخدام خمسة مطهرات تجارية (مركبات الأمونيوم الرباعية (كلوريد البنزالكونيوم (</w:t>
      </w:r>
      <w:r w:rsidRPr="00387A1D">
        <w:rPr>
          <w:rFonts w:asciiTheme="majorBidi" w:eastAsia="Times New Roman" w:hAnsiTheme="majorBidi" w:cstheme="majorBidi"/>
          <w:color w:val="212121"/>
          <w:sz w:val="24"/>
          <w:szCs w:val="24"/>
          <w:lang/>
        </w:rPr>
        <w:t>BC</w:t>
      </w:r>
      <w:r w:rsidRPr="00387A1D">
        <w:rPr>
          <w:rFonts w:asciiTheme="majorBidi" w:eastAsia="Times New Roman" w:hAnsiTheme="majorBidi" w:cstheme="majorBidi"/>
          <w:color w:val="212121"/>
          <w:sz w:val="24"/>
          <w:szCs w:val="24"/>
          <w:rtl/>
          <w:lang/>
        </w:rPr>
        <w:t xml:space="preserve">) و </w:t>
      </w:r>
      <w:r w:rsidRPr="00387A1D">
        <w:rPr>
          <w:rFonts w:asciiTheme="majorBidi" w:eastAsia="Times New Roman" w:hAnsiTheme="majorBidi" w:cstheme="majorBidi"/>
          <w:color w:val="212121"/>
          <w:sz w:val="24"/>
          <w:szCs w:val="24"/>
          <w:lang/>
        </w:rPr>
        <w:t xml:space="preserve">TH4 +) </w:t>
      </w:r>
      <w:r w:rsidRPr="00387A1D">
        <w:rPr>
          <w:rFonts w:asciiTheme="majorBidi" w:eastAsia="Times New Roman" w:hAnsiTheme="majorBidi" w:cstheme="majorBidi"/>
          <w:color w:val="212121"/>
          <w:sz w:val="24"/>
          <w:szCs w:val="24"/>
          <w:rtl/>
          <w:lang/>
        </w:rPr>
        <w:t xml:space="preserve">، </w:t>
      </w:r>
      <w:proofErr w:type="spellStart"/>
      <w:r w:rsidRPr="00387A1D">
        <w:rPr>
          <w:rFonts w:asciiTheme="majorBidi" w:eastAsia="Times New Roman" w:hAnsiTheme="majorBidi" w:cstheme="majorBidi"/>
          <w:color w:val="212121"/>
          <w:sz w:val="24"/>
          <w:szCs w:val="24"/>
          <w:lang/>
        </w:rPr>
        <w:t>Virkon®S</w:t>
      </w:r>
      <w:proofErr w:type="spellEnd"/>
      <w:r w:rsidRPr="00387A1D">
        <w:rPr>
          <w:rFonts w:asciiTheme="majorBidi" w:eastAsia="Times New Roman" w:hAnsiTheme="majorBidi" w:cstheme="majorBidi"/>
          <w:color w:val="212121"/>
          <w:sz w:val="24"/>
          <w:szCs w:val="24"/>
          <w:rtl/>
          <w:lang/>
        </w:rPr>
        <w:t xml:space="preserve"> ، هيبوكلوريت الصوديوم ، وبيروكسيد الهيدروجين (</w:t>
      </w:r>
      <w:r w:rsidRPr="00387A1D">
        <w:rPr>
          <w:rFonts w:asciiTheme="majorBidi" w:eastAsia="Times New Roman" w:hAnsiTheme="majorBidi" w:cstheme="majorBidi"/>
          <w:color w:val="212121"/>
          <w:sz w:val="24"/>
          <w:szCs w:val="24"/>
          <w:lang/>
        </w:rPr>
        <w:t>H2O2</w:t>
      </w:r>
      <w:r w:rsidRPr="00387A1D">
        <w:rPr>
          <w:rFonts w:asciiTheme="majorBidi" w:eastAsia="Times New Roman" w:hAnsiTheme="majorBidi" w:cstheme="majorBidi"/>
          <w:color w:val="212121"/>
          <w:sz w:val="24"/>
          <w:szCs w:val="24"/>
          <w:rtl/>
          <w:lang/>
        </w:rPr>
        <w:t xml:space="preserve">)) ضد </w:t>
      </w:r>
      <w:proofErr w:type="spellStart"/>
      <w:r w:rsidRPr="00387A1D">
        <w:rPr>
          <w:rFonts w:asciiTheme="majorBidi" w:eastAsia="Times New Roman" w:hAnsiTheme="majorBidi" w:cstheme="majorBidi"/>
          <w:color w:val="212121"/>
          <w:sz w:val="24"/>
          <w:szCs w:val="24"/>
          <w:lang/>
        </w:rPr>
        <w:t>Listeria</w:t>
      </w:r>
      <w:proofErr w:type="spellEnd"/>
      <w:r w:rsidRPr="00387A1D">
        <w:rPr>
          <w:rFonts w:asciiTheme="majorBidi" w:eastAsia="Times New Roman" w:hAnsiTheme="majorBidi" w:cstheme="majorBidi"/>
          <w:color w:val="212121"/>
          <w:sz w:val="24"/>
          <w:szCs w:val="24"/>
          <w:lang/>
        </w:rPr>
        <w:t xml:space="preserve"> </w:t>
      </w:r>
      <w:proofErr w:type="spellStart"/>
      <w:r w:rsidRPr="00387A1D">
        <w:rPr>
          <w:rFonts w:asciiTheme="majorBidi" w:eastAsia="Times New Roman" w:hAnsiTheme="majorBidi" w:cstheme="majorBidi"/>
          <w:color w:val="212121"/>
          <w:sz w:val="24"/>
          <w:szCs w:val="24"/>
          <w:lang/>
        </w:rPr>
        <w:t>monocytogenes</w:t>
      </w:r>
      <w:proofErr w:type="spellEnd"/>
      <w:r w:rsidRPr="00387A1D">
        <w:rPr>
          <w:rFonts w:asciiTheme="majorBidi" w:eastAsia="Times New Roman" w:hAnsiTheme="majorBidi" w:cstheme="majorBidi"/>
          <w:color w:val="212121"/>
          <w:sz w:val="24"/>
          <w:szCs w:val="24"/>
          <w:lang/>
        </w:rPr>
        <w:t xml:space="preserve"> ( L. </w:t>
      </w:r>
      <w:proofErr w:type="spellStart"/>
      <w:r w:rsidRPr="00387A1D">
        <w:rPr>
          <w:rFonts w:asciiTheme="majorBidi" w:eastAsia="Times New Roman" w:hAnsiTheme="majorBidi" w:cstheme="majorBidi"/>
          <w:color w:val="212121"/>
          <w:sz w:val="24"/>
          <w:szCs w:val="24"/>
          <w:lang/>
        </w:rPr>
        <w:t>monocytogenes</w:t>
      </w:r>
      <w:proofErr w:type="spellEnd"/>
      <w:r w:rsidRPr="00387A1D">
        <w:rPr>
          <w:rFonts w:asciiTheme="majorBidi" w:eastAsia="Times New Roman" w:hAnsiTheme="majorBidi" w:cstheme="majorBidi"/>
          <w:color w:val="212121"/>
          <w:sz w:val="24"/>
          <w:szCs w:val="24"/>
          <w:rtl/>
          <w:lang/>
        </w:rPr>
        <w:t xml:space="preserve">) العزلات في تركيزات مختلفة ومواعيد التعرض للكشف عن التغير داخل الأنواع ونسبة المقاومة للعوامل المضادة للميكروبات المستخدمة. ولذلك ، تم استزراع ما مجموعه 260 عينة من البراز الحيوانية والإنسانية وكذلك عينات بيئية من مزارع الأبقار الحلوبية لعزل </w:t>
      </w:r>
      <w:r w:rsidRPr="00387A1D">
        <w:rPr>
          <w:rFonts w:asciiTheme="majorBidi" w:eastAsia="Times New Roman" w:hAnsiTheme="majorBidi" w:cstheme="majorBidi"/>
          <w:color w:val="212121"/>
          <w:sz w:val="24"/>
          <w:szCs w:val="24"/>
          <w:lang/>
        </w:rPr>
        <w:t xml:space="preserve">L. </w:t>
      </w:r>
      <w:proofErr w:type="spellStart"/>
      <w:r w:rsidRPr="00387A1D">
        <w:rPr>
          <w:rFonts w:asciiTheme="majorBidi" w:eastAsia="Times New Roman" w:hAnsiTheme="majorBidi" w:cstheme="majorBidi"/>
          <w:color w:val="212121"/>
          <w:sz w:val="24"/>
          <w:szCs w:val="24"/>
          <w:lang/>
        </w:rPr>
        <w:t>monocytogenes</w:t>
      </w:r>
      <w:proofErr w:type="spellEnd"/>
      <w:r w:rsidRPr="00387A1D">
        <w:rPr>
          <w:rFonts w:asciiTheme="majorBidi" w:eastAsia="Times New Roman" w:hAnsiTheme="majorBidi" w:cstheme="majorBidi"/>
          <w:color w:val="212121"/>
          <w:sz w:val="24"/>
          <w:szCs w:val="24"/>
          <w:rtl/>
          <w:lang/>
        </w:rPr>
        <w:t xml:space="preserve">. بعد ذلك ، تم تحديد العزلات البكتيرية باستخدام </w:t>
      </w:r>
      <w:r w:rsidRPr="00387A1D">
        <w:rPr>
          <w:rFonts w:asciiTheme="majorBidi" w:eastAsia="Times New Roman" w:hAnsiTheme="majorBidi" w:cstheme="majorBidi"/>
          <w:color w:val="212121"/>
          <w:sz w:val="24"/>
          <w:szCs w:val="24"/>
          <w:lang/>
        </w:rPr>
        <w:t>PCR</w:t>
      </w:r>
      <w:r w:rsidRPr="00387A1D">
        <w:rPr>
          <w:rFonts w:asciiTheme="majorBidi" w:eastAsia="Times New Roman" w:hAnsiTheme="majorBidi" w:cstheme="majorBidi"/>
          <w:color w:val="212121"/>
          <w:sz w:val="24"/>
          <w:szCs w:val="24"/>
          <w:rtl/>
          <w:lang/>
        </w:rPr>
        <w:t>. تم تصنيع الفضة النانوية باستخدام الحد الكيميائي. تمتاز كل من جسيمات الفضة النانوية وأشكالها المحملة بالمجهر الإلكتروني النافذ (</w:t>
      </w:r>
      <w:r w:rsidRPr="00387A1D">
        <w:rPr>
          <w:rFonts w:asciiTheme="majorBidi" w:eastAsia="Times New Roman" w:hAnsiTheme="majorBidi" w:cstheme="majorBidi"/>
          <w:color w:val="212121"/>
          <w:sz w:val="24"/>
          <w:szCs w:val="24"/>
          <w:lang/>
        </w:rPr>
        <w:t>TEM</w:t>
      </w:r>
      <w:r w:rsidRPr="00387A1D">
        <w:rPr>
          <w:rFonts w:asciiTheme="majorBidi" w:eastAsia="Times New Roman" w:hAnsiTheme="majorBidi" w:cstheme="majorBidi"/>
          <w:color w:val="212121"/>
          <w:sz w:val="24"/>
          <w:szCs w:val="24"/>
          <w:rtl/>
          <w:lang/>
        </w:rPr>
        <w:t xml:space="preserve">). تم تقييم اختبار الحساسية من 60 سلالات من البكتيريا </w:t>
      </w:r>
      <w:r w:rsidRPr="00387A1D">
        <w:rPr>
          <w:rFonts w:asciiTheme="majorBidi" w:eastAsia="Times New Roman" w:hAnsiTheme="majorBidi" w:cstheme="majorBidi"/>
          <w:color w:val="212121"/>
          <w:sz w:val="24"/>
          <w:szCs w:val="24"/>
          <w:lang/>
        </w:rPr>
        <w:t xml:space="preserve">L. </w:t>
      </w:r>
      <w:proofErr w:type="spellStart"/>
      <w:r w:rsidRPr="00387A1D">
        <w:rPr>
          <w:rFonts w:asciiTheme="majorBidi" w:eastAsia="Times New Roman" w:hAnsiTheme="majorBidi" w:cstheme="majorBidi"/>
          <w:color w:val="212121"/>
          <w:sz w:val="24"/>
          <w:szCs w:val="24"/>
          <w:lang/>
        </w:rPr>
        <w:t>monocytogenes</w:t>
      </w:r>
      <w:proofErr w:type="spellEnd"/>
      <w:r w:rsidRPr="00387A1D">
        <w:rPr>
          <w:rFonts w:asciiTheme="majorBidi" w:eastAsia="Times New Roman" w:hAnsiTheme="majorBidi" w:cstheme="majorBidi"/>
          <w:color w:val="212121"/>
          <w:sz w:val="24"/>
          <w:szCs w:val="24"/>
          <w:rtl/>
          <w:lang/>
        </w:rPr>
        <w:t xml:space="preserve"> إلى </w:t>
      </w:r>
      <w:proofErr w:type="spellStart"/>
      <w:r w:rsidRPr="00387A1D">
        <w:rPr>
          <w:rFonts w:asciiTheme="majorBidi" w:eastAsia="Times New Roman" w:hAnsiTheme="majorBidi" w:cstheme="majorBidi"/>
          <w:color w:val="212121"/>
          <w:sz w:val="24"/>
          <w:szCs w:val="24"/>
          <w:lang/>
        </w:rPr>
        <w:t>AgNPs</w:t>
      </w:r>
      <w:proofErr w:type="spellEnd"/>
      <w:r w:rsidRPr="00387A1D">
        <w:rPr>
          <w:rFonts w:asciiTheme="majorBidi" w:eastAsia="Times New Roman" w:hAnsiTheme="majorBidi" w:cstheme="majorBidi"/>
          <w:color w:val="212121"/>
          <w:sz w:val="24"/>
          <w:szCs w:val="24"/>
          <w:rtl/>
          <w:lang/>
        </w:rPr>
        <w:t xml:space="preserve"> وأشكالها تحميل باستخدام طريقة </w:t>
      </w:r>
      <w:proofErr w:type="spellStart"/>
      <w:r w:rsidRPr="00387A1D">
        <w:rPr>
          <w:rFonts w:asciiTheme="majorBidi" w:eastAsia="Times New Roman" w:hAnsiTheme="majorBidi" w:cstheme="majorBidi"/>
          <w:color w:val="212121"/>
          <w:sz w:val="24"/>
          <w:szCs w:val="24"/>
          <w:lang/>
        </w:rPr>
        <w:t>brusililution</w:t>
      </w:r>
      <w:proofErr w:type="spellEnd"/>
      <w:r w:rsidRPr="00387A1D">
        <w:rPr>
          <w:rFonts w:asciiTheme="majorBidi" w:eastAsia="Times New Roman" w:hAnsiTheme="majorBidi" w:cstheme="majorBidi"/>
          <w:color w:val="212121"/>
          <w:sz w:val="24"/>
          <w:szCs w:val="24"/>
          <w:rtl/>
          <w:lang/>
        </w:rPr>
        <w:t xml:space="preserve"> مرق. أظهرت </w:t>
      </w:r>
      <w:proofErr w:type="spellStart"/>
      <w:r w:rsidRPr="00387A1D">
        <w:rPr>
          <w:rFonts w:asciiTheme="majorBidi" w:eastAsia="Times New Roman" w:hAnsiTheme="majorBidi" w:cstheme="majorBidi"/>
          <w:color w:val="212121"/>
          <w:sz w:val="24"/>
          <w:szCs w:val="24"/>
          <w:lang/>
        </w:rPr>
        <w:t>Virkon®S</w:t>
      </w:r>
      <w:proofErr w:type="spellEnd"/>
      <w:r w:rsidRPr="00387A1D">
        <w:rPr>
          <w:rFonts w:asciiTheme="majorBidi" w:eastAsia="Times New Roman" w:hAnsiTheme="majorBidi" w:cstheme="majorBidi"/>
          <w:color w:val="212121"/>
          <w:sz w:val="24"/>
          <w:szCs w:val="24"/>
          <w:lang/>
        </w:rPr>
        <w:t xml:space="preserve"> / </w:t>
      </w:r>
      <w:proofErr w:type="spellStart"/>
      <w:r w:rsidRPr="00387A1D">
        <w:rPr>
          <w:rFonts w:asciiTheme="majorBidi" w:eastAsia="Times New Roman" w:hAnsiTheme="majorBidi" w:cstheme="majorBidi"/>
          <w:color w:val="212121"/>
          <w:sz w:val="24"/>
          <w:szCs w:val="24"/>
          <w:lang/>
        </w:rPr>
        <w:t>AgNPs</w:t>
      </w:r>
      <w:proofErr w:type="spellEnd"/>
      <w:r w:rsidRPr="00387A1D">
        <w:rPr>
          <w:rFonts w:asciiTheme="majorBidi" w:eastAsia="Times New Roman" w:hAnsiTheme="majorBidi" w:cstheme="majorBidi"/>
          <w:color w:val="212121"/>
          <w:sz w:val="24"/>
          <w:szCs w:val="24"/>
          <w:lang/>
        </w:rPr>
        <w:t xml:space="preserve"> 2.0</w:t>
      </w:r>
      <w:r w:rsidRPr="00387A1D">
        <w:rPr>
          <w:rFonts w:asciiTheme="majorBidi" w:eastAsia="Times New Roman" w:hAnsiTheme="majorBidi" w:cs="Times New Roman"/>
          <w:color w:val="212121"/>
          <w:sz w:val="24"/>
          <w:szCs w:val="24"/>
          <w:rtl/>
          <w:lang/>
        </w:rPr>
        <w:t>٪</w:t>
      </w:r>
      <w:r w:rsidRPr="00387A1D">
        <w:rPr>
          <w:rFonts w:asciiTheme="majorBidi" w:eastAsia="Times New Roman" w:hAnsiTheme="majorBidi" w:cstheme="majorBidi"/>
          <w:color w:val="212121"/>
          <w:sz w:val="24"/>
          <w:szCs w:val="24"/>
          <w:rtl/>
          <w:lang/>
        </w:rPr>
        <w:t xml:space="preserve"> أعلى تأثير مضاد للجراثيم (100٪) ضد </w:t>
      </w:r>
      <w:r w:rsidRPr="00387A1D">
        <w:rPr>
          <w:rFonts w:asciiTheme="majorBidi" w:eastAsia="Times New Roman" w:hAnsiTheme="majorBidi" w:cstheme="majorBidi"/>
          <w:color w:val="212121"/>
          <w:sz w:val="24"/>
          <w:szCs w:val="24"/>
          <w:lang/>
        </w:rPr>
        <w:t xml:space="preserve">L. </w:t>
      </w:r>
      <w:proofErr w:type="spellStart"/>
      <w:r w:rsidRPr="00387A1D">
        <w:rPr>
          <w:rFonts w:asciiTheme="majorBidi" w:eastAsia="Times New Roman" w:hAnsiTheme="majorBidi" w:cstheme="majorBidi"/>
          <w:color w:val="212121"/>
          <w:sz w:val="24"/>
          <w:szCs w:val="24"/>
          <w:lang/>
        </w:rPr>
        <w:t>monocytogenesstrains</w:t>
      </w:r>
      <w:proofErr w:type="spellEnd"/>
      <w:r w:rsidRPr="00387A1D">
        <w:rPr>
          <w:rFonts w:asciiTheme="majorBidi" w:eastAsia="Times New Roman" w:hAnsiTheme="majorBidi" w:cstheme="majorBidi"/>
          <w:color w:val="212121"/>
          <w:sz w:val="24"/>
          <w:szCs w:val="24"/>
          <w:rtl/>
          <w:lang/>
        </w:rPr>
        <w:t xml:space="preserve"> متبوعًا بـ </w:t>
      </w:r>
      <w:r w:rsidRPr="00387A1D">
        <w:rPr>
          <w:rFonts w:asciiTheme="majorBidi" w:eastAsia="Times New Roman" w:hAnsiTheme="majorBidi" w:cstheme="majorBidi"/>
          <w:color w:val="212121"/>
          <w:sz w:val="24"/>
          <w:szCs w:val="24"/>
          <w:lang/>
        </w:rPr>
        <w:t xml:space="preserve">H2O2 / </w:t>
      </w:r>
      <w:proofErr w:type="spellStart"/>
      <w:r w:rsidRPr="00387A1D">
        <w:rPr>
          <w:rFonts w:asciiTheme="majorBidi" w:eastAsia="Times New Roman" w:hAnsiTheme="majorBidi" w:cstheme="majorBidi"/>
          <w:color w:val="212121"/>
          <w:sz w:val="24"/>
          <w:szCs w:val="24"/>
          <w:lang/>
        </w:rPr>
        <w:t>AgNPs</w:t>
      </w:r>
      <w:proofErr w:type="spellEnd"/>
      <w:r w:rsidRPr="00387A1D">
        <w:rPr>
          <w:rFonts w:asciiTheme="majorBidi" w:eastAsia="Times New Roman" w:hAnsiTheme="majorBidi" w:cstheme="majorBidi"/>
          <w:color w:val="212121"/>
          <w:sz w:val="24"/>
          <w:szCs w:val="24"/>
          <w:lang/>
        </w:rPr>
        <w:t xml:space="preserve"> 5.0</w:t>
      </w:r>
      <w:r w:rsidRPr="00387A1D">
        <w:rPr>
          <w:rFonts w:asciiTheme="majorBidi" w:eastAsia="Times New Roman" w:hAnsiTheme="majorBidi" w:cs="Times New Roman"/>
          <w:color w:val="212121"/>
          <w:sz w:val="24"/>
          <w:szCs w:val="24"/>
          <w:rtl/>
          <w:lang/>
        </w:rPr>
        <w:t>٪</w:t>
      </w:r>
      <w:r w:rsidRPr="00387A1D">
        <w:rPr>
          <w:rFonts w:asciiTheme="majorBidi" w:eastAsia="Times New Roman" w:hAnsiTheme="majorBidi" w:cstheme="majorBidi"/>
          <w:color w:val="212121"/>
          <w:sz w:val="24"/>
          <w:szCs w:val="24"/>
          <w:rtl/>
          <w:lang/>
        </w:rPr>
        <w:t xml:space="preserve"> و </w:t>
      </w:r>
      <w:r w:rsidRPr="00387A1D">
        <w:rPr>
          <w:rFonts w:asciiTheme="majorBidi" w:eastAsia="Times New Roman" w:hAnsiTheme="majorBidi" w:cstheme="majorBidi"/>
          <w:color w:val="212121"/>
          <w:sz w:val="24"/>
          <w:szCs w:val="24"/>
          <w:lang/>
        </w:rPr>
        <w:t xml:space="preserve">TH4 + / </w:t>
      </w:r>
      <w:proofErr w:type="spellStart"/>
      <w:r w:rsidRPr="00387A1D">
        <w:rPr>
          <w:rFonts w:asciiTheme="majorBidi" w:eastAsia="Times New Roman" w:hAnsiTheme="majorBidi" w:cstheme="majorBidi"/>
          <w:color w:val="212121"/>
          <w:sz w:val="24"/>
          <w:szCs w:val="24"/>
          <w:lang/>
        </w:rPr>
        <w:t>AgNPs</w:t>
      </w:r>
      <w:proofErr w:type="spellEnd"/>
      <w:r w:rsidRPr="00387A1D">
        <w:rPr>
          <w:rFonts w:asciiTheme="majorBidi" w:eastAsia="Times New Roman" w:hAnsiTheme="majorBidi" w:cstheme="majorBidi"/>
          <w:color w:val="212121"/>
          <w:sz w:val="24"/>
          <w:szCs w:val="24"/>
          <w:lang/>
        </w:rPr>
        <w:t xml:space="preserve"> 1.0</w:t>
      </w:r>
      <w:r w:rsidRPr="00387A1D">
        <w:rPr>
          <w:rFonts w:asciiTheme="majorBidi" w:eastAsia="Times New Roman" w:hAnsiTheme="majorBidi" w:cs="Times New Roman"/>
          <w:color w:val="212121"/>
          <w:sz w:val="24"/>
          <w:szCs w:val="24"/>
          <w:rtl/>
          <w:lang/>
        </w:rPr>
        <w:t xml:space="preserve">٪ </w:t>
      </w:r>
      <w:r w:rsidRPr="00387A1D">
        <w:rPr>
          <w:rFonts w:asciiTheme="majorBidi" w:eastAsia="Times New Roman" w:hAnsiTheme="majorBidi" w:cstheme="majorBidi"/>
          <w:color w:val="212121"/>
          <w:sz w:val="24"/>
          <w:szCs w:val="24"/>
          <w:lang/>
        </w:rPr>
        <w:t>(90</w:t>
      </w:r>
      <w:r w:rsidRPr="00387A1D">
        <w:rPr>
          <w:rFonts w:asciiTheme="majorBidi" w:eastAsia="Times New Roman" w:hAnsiTheme="majorBidi" w:cs="Times New Roman"/>
          <w:color w:val="212121"/>
          <w:sz w:val="24"/>
          <w:szCs w:val="24"/>
          <w:rtl/>
          <w:lang/>
        </w:rPr>
        <w:t>٪</w:t>
      </w:r>
      <w:r w:rsidRPr="00387A1D">
        <w:rPr>
          <w:rFonts w:asciiTheme="majorBidi" w:eastAsia="Times New Roman" w:hAnsiTheme="majorBidi" w:cstheme="majorBidi"/>
          <w:color w:val="212121"/>
          <w:sz w:val="24"/>
          <w:szCs w:val="24"/>
          <w:rtl/>
          <w:lang/>
        </w:rPr>
        <w:t xml:space="preserve"> لكل منهما). علاوة على ذلك ، كانت نسبة مقاومة </w:t>
      </w:r>
      <w:r w:rsidRPr="00387A1D">
        <w:rPr>
          <w:rFonts w:asciiTheme="majorBidi" w:eastAsia="Times New Roman" w:hAnsiTheme="majorBidi" w:cstheme="majorBidi"/>
          <w:color w:val="212121"/>
          <w:sz w:val="24"/>
          <w:szCs w:val="24"/>
          <w:lang/>
        </w:rPr>
        <w:t xml:space="preserve">L. </w:t>
      </w:r>
      <w:proofErr w:type="spellStart"/>
      <w:r w:rsidRPr="00387A1D">
        <w:rPr>
          <w:rFonts w:asciiTheme="majorBidi" w:eastAsia="Times New Roman" w:hAnsiTheme="majorBidi" w:cstheme="majorBidi"/>
          <w:color w:val="212121"/>
          <w:sz w:val="24"/>
          <w:szCs w:val="24"/>
          <w:lang/>
        </w:rPr>
        <w:t>monocytogenes</w:t>
      </w:r>
      <w:proofErr w:type="spellEnd"/>
      <w:r w:rsidRPr="00387A1D">
        <w:rPr>
          <w:rFonts w:asciiTheme="majorBidi" w:eastAsia="Times New Roman" w:hAnsiTheme="majorBidi" w:cstheme="majorBidi"/>
          <w:color w:val="212121"/>
          <w:sz w:val="24"/>
          <w:szCs w:val="24"/>
          <w:lang/>
        </w:rPr>
        <w:t xml:space="preserve"> 0.0</w:t>
      </w:r>
      <w:r w:rsidRPr="00387A1D">
        <w:rPr>
          <w:rFonts w:asciiTheme="majorBidi" w:eastAsia="Times New Roman" w:hAnsiTheme="majorBidi" w:cs="Times New Roman"/>
          <w:color w:val="212121"/>
          <w:sz w:val="24"/>
          <w:szCs w:val="24"/>
          <w:rtl/>
          <w:lang/>
        </w:rPr>
        <w:t>٪</w:t>
      </w:r>
      <w:r w:rsidRPr="00387A1D">
        <w:rPr>
          <w:rFonts w:asciiTheme="majorBidi" w:eastAsia="Times New Roman" w:hAnsiTheme="majorBidi" w:cstheme="majorBidi"/>
          <w:color w:val="212121"/>
          <w:sz w:val="24"/>
          <w:szCs w:val="24"/>
          <w:rtl/>
          <w:lang/>
        </w:rPr>
        <w:t xml:space="preserve"> لكل من </w:t>
      </w:r>
      <w:r w:rsidRPr="00387A1D">
        <w:rPr>
          <w:rFonts w:asciiTheme="majorBidi" w:eastAsia="Times New Roman" w:hAnsiTheme="majorBidi" w:cstheme="majorBidi"/>
          <w:color w:val="212121"/>
          <w:sz w:val="24"/>
          <w:szCs w:val="24"/>
          <w:lang/>
        </w:rPr>
        <w:t xml:space="preserve">H2O2 / </w:t>
      </w:r>
      <w:proofErr w:type="spellStart"/>
      <w:r w:rsidRPr="00387A1D">
        <w:rPr>
          <w:rFonts w:asciiTheme="majorBidi" w:eastAsia="Times New Roman" w:hAnsiTheme="majorBidi" w:cstheme="majorBidi"/>
          <w:color w:val="212121"/>
          <w:sz w:val="24"/>
          <w:szCs w:val="24"/>
          <w:lang/>
        </w:rPr>
        <w:t>AgNPs</w:t>
      </w:r>
      <w:proofErr w:type="spellEnd"/>
      <w:r w:rsidRPr="00387A1D">
        <w:rPr>
          <w:rFonts w:asciiTheme="majorBidi" w:eastAsia="Times New Roman" w:hAnsiTheme="majorBidi" w:cstheme="majorBidi"/>
          <w:color w:val="212121"/>
          <w:sz w:val="24"/>
          <w:szCs w:val="24"/>
          <w:lang/>
        </w:rPr>
        <w:t xml:space="preserve"> 5.0</w:t>
      </w:r>
      <w:r w:rsidRPr="00387A1D">
        <w:rPr>
          <w:rFonts w:asciiTheme="majorBidi" w:eastAsia="Times New Roman" w:hAnsiTheme="majorBidi" w:cs="Times New Roman"/>
          <w:color w:val="212121"/>
          <w:sz w:val="24"/>
          <w:szCs w:val="24"/>
          <w:rtl/>
          <w:lang/>
        </w:rPr>
        <w:t>٪</w:t>
      </w:r>
      <w:r w:rsidRPr="00387A1D">
        <w:rPr>
          <w:rFonts w:asciiTheme="majorBidi" w:eastAsia="Times New Roman" w:hAnsiTheme="majorBidi" w:cstheme="majorBidi"/>
          <w:color w:val="212121"/>
          <w:sz w:val="24"/>
          <w:szCs w:val="24"/>
          <w:rtl/>
          <w:lang/>
        </w:rPr>
        <w:t xml:space="preserve"> و </w:t>
      </w:r>
      <w:proofErr w:type="spellStart"/>
      <w:r w:rsidRPr="00387A1D">
        <w:rPr>
          <w:rFonts w:asciiTheme="majorBidi" w:eastAsia="Times New Roman" w:hAnsiTheme="majorBidi" w:cstheme="majorBidi"/>
          <w:color w:val="212121"/>
          <w:sz w:val="24"/>
          <w:szCs w:val="24"/>
          <w:lang/>
        </w:rPr>
        <w:t>Virkon®S</w:t>
      </w:r>
      <w:proofErr w:type="spellEnd"/>
      <w:r w:rsidRPr="00387A1D">
        <w:rPr>
          <w:rFonts w:asciiTheme="majorBidi" w:eastAsia="Times New Roman" w:hAnsiTheme="majorBidi" w:cstheme="majorBidi"/>
          <w:color w:val="212121"/>
          <w:sz w:val="24"/>
          <w:szCs w:val="24"/>
          <w:lang/>
        </w:rPr>
        <w:t xml:space="preserve"> / </w:t>
      </w:r>
      <w:proofErr w:type="spellStart"/>
      <w:r w:rsidRPr="00387A1D">
        <w:rPr>
          <w:rFonts w:asciiTheme="majorBidi" w:eastAsia="Times New Roman" w:hAnsiTheme="majorBidi" w:cstheme="majorBidi"/>
          <w:color w:val="212121"/>
          <w:sz w:val="24"/>
          <w:szCs w:val="24"/>
          <w:lang/>
        </w:rPr>
        <w:t>AgNPs</w:t>
      </w:r>
      <w:proofErr w:type="spellEnd"/>
      <w:r w:rsidRPr="00387A1D">
        <w:rPr>
          <w:rFonts w:asciiTheme="majorBidi" w:eastAsia="Times New Roman" w:hAnsiTheme="majorBidi" w:cstheme="majorBidi"/>
          <w:color w:val="212121"/>
          <w:sz w:val="24"/>
          <w:szCs w:val="24"/>
          <w:lang/>
        </w:rPr>
        <w:t xml:space="preserve"> 2.0</w:t>
      </w:r>
      <w:r w:rsidRPr="00387A1D">
        <w:rPr>
          <w:rFonts w:asciiTheme="majorBidi" w:eastAsia="Times New Roman" w:hAnsiTheme="majorBidi" w:cs="Times New Roman"/>
          <w:color w:val="212121"/>
          <w:sz w:val="24"/>
          <w:szCs w:val="24"/>
          <w:rtl/>
          <w:lang/>
        </w:rPr>
        <w:t>٪</w:t>
      </w:r>
      <w:r w:rsidRPr="00387A1D">
        <w:rPr>
          <w:rFonts w:asciiTheme="majorBidi" w:eastAsia="Times New Roman" w:hAnsiTheme="majorBidi" w:cstheme="majorBidi"/>
          <w:color w:val="212121"/>
          <w:sz w:val="24"/>
          <w:szCs w:val="24"/>
          <w:rtl/>
          <w:lang/>
        </w:rPr>
        <w:t xml:space="preserve">. في الختام ، يعد رصد المصدر الرئيسي للتلوث مع الليستيريا مونوسيتوجينس في مزارع الأبقار الحلوبية عاملا أساسيا لتحقيق السيطرة الفعالة. علاوة على ذلك ، كان استخدام المطهرات ، </w:t>
      </w:r>
      <w:proofErr w:type="spellStart"/>
      <w:r w:rsidRPr="00387A1D">
        <w:rPr>
          <w:rFonts w:asciiTheme="majorBidi" w:eastAsia="Times New Roman" w:hAnsiTheme="majorBidi" w:cstheme="majorBidi"/>
          <w:color w:val="212121"/>
          <w:sz w:val="24"/>
          <w:szCs w:val="24"/>
          <w:lang/>
        </w:rPr>
        <w:t>Virkon®S</w:t>
      </w:r>
      <w:proofErr w:type="spellEnd"/>
      <w:r w:rsidRPr="00387A1D">
        <w:rPr>
          <w:rFonts w:asciiTheme="majorBidi" w:eastAsia="Times New Roman" w:hAnsiTheme="majorBidi" w:cstheme="majorBidi"/>
          <w:color w:val="212121"/>
          <w:sz w:val="24"/>
          <w:szCs w:val="24"/>
          <w:lang/>
        </w:rPr>
        <w:t xml:space="preserve"> 2.0</w:t>
      </w:r>
      <w:r w:rsidRPr="00387A1D">
        <w:rPr>
          <w:rFonts w:asciiTheme="majorBidi" w:eastAsia="Times New Roman" w:hAnsiTheme="majorBidi" w:cs="Times New Roman"/>
          <w:color w:val="212121"/>
          <w:sz w:val="24"/>
          <w:szCs w:val="24"/>
          <w:rtl/>
          <w:lang/>
        </w:rPr>
        <w:t xml:space="preserve">٪ </w:t>
      </w:r>
      <w:r w:rsidRPr="00387A1D">
        <w:rPr>
          <w:rFonts w:asciiTheme="majorBidi" w:eastAsia="Times New Roman" w:hAnsiTheme="majorBidi" w:cstheme="majorBidi"/>
          <w:color w:val="212121"/>
          <w:sz w:val="24"/>
          <w:szCs w:val="24"/>
          <w:rtl/>
          <w:lang/>
        </w:rPr>
        <w:t xml:space="preserve">، </w:t>
      </w:r>
      <w:r w:rsidRPr="00387A1D">
        <w:rPr>
          <w:rFonts w:asciiTheme="majorBidi" w:eastAsia="Times New Roman" w:hAnsiTheme="majorBidi" w:cstheme="majorBidi"/>
          <w:color w:val="212121"/>
          <w:sz w:val="24"/>
          <w:szCs w:val="24"/>
          <w:lang/>
        </w:rPr>
        <w:t>H2O2 5.0</w:t>
      </w:r>
      <w:r w:rsidRPr="00387A1D">
        <w:rPr>
          <w:rFonts w:asciiTheme="majorBidi" w:eastAsia="Times New Roman" w:hAnsiTheme="majorBidi" w:cs="Times New Roman"/>
          <w:color w:val="212121"/>
          <w:sz w:val="24"/>
          <w:szCs w:val="24"/>
          <w:rtl/>
          <w:lang/>
        </w:rPr>
        <w:t>٪</w:t>
      </w:r>
      <w:r w:rsidRPr="00387A1D">
        <w:rPr>
          <w:rFonts w:asciiTheme="majorBidi" w:eastAsia="Times New Roman" w:hAnsiTheme="majorBidi" w:cstheme="majorBidi"/>
          <w:color w:val="212121"/>
          <w:sz w:val="24"/>
          <w:szCs w:val="24"/>
          <w:rtl/>
          <w:lang/>
        </w:rPr>
        <w:t xml:space="preserve"> ، و </w:t>
      </w:r>
      <w:r w:rsidRPr="00387A1D">
        <w:rPr>
          <w:rFonts w:asciiTheme="majorBidi" w:eastAsia="Times New Roman" w:hAnsiTheme="majorBidi" w:cstheme="majorBidi"/>
          <w:color w:val="212121"/>
          <w:sz w:val="24"/>
          <w:szCs w:val="24"/>
          <w:lang/>
        </w:rPr>
        <w:t>TH4 + 1.0</w:t>
      </w:r>
      <w:r w:rsidRPr="00387A1D">
        <w:rPr>
          <w:rFonts w:asciiTheme="majorBidi" w:eastAsia="Times New Roman" w:hAnsiTheme="majorBidi" w:cs="Times New Roman"/>
          <w:color w:val="212121"/>
          <w:sz w:val="24"/>
          <w:szCs w:val="24"/>
          <w:rtl/>
          <w:lang/>
        </w:rPr>
        <w:t>٪</w:t>
      </w:r>
      <w:r w:rsidRPr="00387A1D">
        <w:rPr>
          <w:rFonts w:asciiTheme="majorBidi" w:eastAsia="Times New Roman" w:hAnsiTheme="majorBidi" w:cstheme="majorBidi"/>
          <w:color w:val="212121"/>
          <w:sz w:val="24"/>
          <w:szCs w:val="24"/>
          <w:rtl/>
          <w:lang/>
        </w:rPr>
        <w:t xml:space="preserve"> ، محملاً على جسيمات الفضة النانوية المركب له تأثير جراثيم قوي ضد </w:t>
      </w:r>
      <w:r w:rsidRPr="00387A1D">
        <w:rPr>
          <w:rFonts w:asciiTheme="majorBidi" w:eastAsia="Times New Roman" w:hAnsiTheme="majorBidi" w:cstheme="majorBidi"/>
          <w:color w:val="212121"/>
          <w:sz w:val="24"/>
          <w:szCs w:val="24"/>
          <w:lang/>
        </w:rPr>
        <w:t xml:space="preserve">L. </w:t>
      </w:r>
      <w:proofErr w:type="spellStart"/>
      <w:r w:rsidRPr="00387A1D">
        <w:rPr>
          <w:rFonts w:asciiTheme="majorBidi" w:eastAsia="Times New Roman" w:hAnsiTheme="majorBidi" w:cstheme="majorBidi"/>
          <w:color w:val="212121"/>
          <w:sz w:val="24"/>
          <w:szCs w:val="24"/>
          <w:lang/>
        </w:rPr>
        <w:t>monocytogenes</w:t>
      </w:r>
      <w:proofErr w:type="spellEnd"/>
      <w:r w:rsidRPr="00387A1D">
        <w:rPr>
          <w:rFonts w:asciiTheme="majorBidi" w:eastAsia="Times New Roman" w:hAnsiTheme="majorBidi" w:cstheme="majorBidi"/>
          <w:color w:val="212121"/>
          <w:sz w:val="24"/>
          <w:szCs w:val="24"/>
          <w:rtl/>
          <w:lang/>
        </w:rPr>
        <w:t>.</w:t>
      </w:r>
    </w:p>
    <w:p w:rsidR="00387A1D" w:rsidRPr="00202C57" w:rsidRDefault="00387A1D" w:rsidP="00387A1D">
      <w:pPr>
        <w:bidi w:val="0"/>
        <w:jc w:val="both"/>
        <w:rPr>
          <w:rFonts w:asciiTheme="majorBidi" w:hAnsiTheme="majorBidi" w:cstheme="majorBidi"/>
          <w:sz w:val="28"/>
          <w:szCs w:val="28"/>
          <w:rtl/>
        </w:rPr>
      </w:pPr>
    </w:p>
    <w:sectPr w:rsidR="00387A1D" w:rsidRPr="00202C57" w:rsidSect="00202C57">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67E5"/>
    <w:rsid w:val="00202C57"/>
    <w:rsid w:val="00387A1D"/>
    <w:rsid w:val="006767E5"/>
    <w:rsid w:val="006949D3"/>
    <w:rsid w:val="00912235"/>
    <w:rsid w:val="00B63B46"/>
    <w:rsid w:val="00D004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A1D"/>
    <w:rPr>
      <w:color w:val="0000FF" w:themeColor="hyperlink"/>
      <w:u w:val="single"/>
    </w:rPr>
  </w:style>
  <w:style w:type="character" w:customStyle="1" w:styleId="tlid-translation">
    <w:name w:val="tlid-translation"/>
    <w:basedOn w:val="DefaultParagraphFont"/>
    <w:rsid w:val="00D00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A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93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356-018-37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iamasdpc</dc:creator>
  <cp:keywords/>
  <dc:description/>
  <cp:lastModifiedBy> </cp:lastModifiedBy>
  <cp:revision>6</cp:revision>
  <dcterms:created xsi:type="dcterms:W3CDTF">2019-01-22T08:40:00Z</dcterms:created>
  <dcterms:modified xsi:type="dcterms:W3CDTF">2019-01-30T08:15:00Z</dcterms:modified>
</cp:coreProperties>
</file>