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1C" w:rsidRDefault="0040521C" w:rsidP="0040521C">
      <w:pPr>
        <w:bidi/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باللغة الأنجليزية:</w:t>
      </w:r>
    </w:p>
    <w:p w:rsidR="00DA3A09" w:rsidRDefault="0040521C" w:rsidP="0040521C"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   A new series of </w:t>
      </w:r>
      <w:proofErr w:type="spellStart"/>
      <w:r>
        <w:rPr>
          <w:rFonts w:asciiTheme="majorBidi" w:eastAsia="Calibri" w:hAnsiTheme="majorBidi" w:cstheme="majorBidi"/>
          <w:b/>
          <w:bCs/>
          <w:sz w:val="24"/>
          <w:szCs w:val="24"/>
        </w:rPr>
        <w:t>triarylpyrazoline</w:t>
      </w:r>
      <w:proofErr w:type="spellEnd"/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derivatives 8a–p containing the most important COX-2 </w:t>
      </w:r>
      <w:proofErr w:type="spellStart"/>
      <w:r>
        <w:rPr>
          <w:rFonts w:asciiTheme="majorBidi" w:eastAsia="Calibri" w:hAnsiTheme="majorBidi" w:cstheme="majorBidi"/>
          <w:b/>
          <w:bCs/>
          <w:sz w:val="24"/>
          <w:szCs w:val="24"/>
        </w:rPr>
        <w:t>pharmacophore</w:t>
      </w:r>
      <w:proofErr w:type="spellEnd"/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(SO2CH3 or/and SO2NH2) were synthesized by reaction of propen-1-one derivatives 6a–h with different phenyl hydrazine hydrochloride derivatives 7a–b in aqueous ethanol. All prepared compounds were evaluated for their in vitro COX-1/COX-2 inhibitory activity and the in vivo anti-inflammatory activity. All compounds were more selective for COX-2 </w:t>
      </w:r>
      <w:proofErr w:type="spellStart"/>
      <w:r>
        <w:rPr>
          <w:rFonts w:asciiTheme="majorBidi" w:eastAsia="Calibri" w:hAnsiTheme="majorBidi" w:cstheme="majorBidi"/>
          <w:b/>
          <w:bCs/>
          <w:sz w:val="24"/>
          <w:szCs w:val="24"/>
        </w:rPr>
        <w:t>isozyme</w:t>
      </w:r>
      <w:proofErr w:type="spellEnd"/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than COX-1 </w:t>
      </w:r>
      <w:proofErr w:type="spellStart"/>
      <w:r>
        <w:rPr>
          <w:rFonts w:asciiTheme="majorBidi" w:eastAsia="Calibri" w:hAnsiTheme="majorBidi" w:cstheme="majorBidi"/>
          <w:b/>
          <w:bCs/>
          <w:sz w:val="24"/>
          <w:szCs w:val="24"/>
        </w:rPr>
        <w:t>isozyme</w:t>
      </w:r>
      <w:proofErr w:type="spellEnd"/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and showed good in vivo anti-inflammatory activity. Compounds 8g, 8j and 8o showed the highest anti-inflammatory activity and were less </w:t>
      </w:r>
      <w:proofErr w:type="spellStart"/>
      <w:r>
        <w:rPr>
          <w:rFonts w:asciiTheme="majorBidi" w:eastAsia="Calibri" w:hAnsiTheme="majorBidi" w:cstheme="majorBidi"/>
          <w:b/>
          <w:bCs/>
          <w:sz w:val="24"/>
          <w:szCs w:val="24"/>
        </w:rPr>
        <w:t>ulcerogenic</w:t>
      </w:r>
      <w:proofErr w:type="spellEnd"/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(Ulcer Index = 6.85, 7.7, 5.92, respectively) than </w:t>
      </w:r>
      <w:proofErr w:type="spellStart"/>
      <w:r>
        <w:rPr>
          <w:rFonts w:asciiTheme="majorBidi" w:eastAsia="Calibri" w:hAnsiTheme="majorBidi" w:cstheme="majorBidi"/>
          <w:b/>
          <w:bCs/>
          <w:sz w:val="24"/>
          <w:szCs w:val="24"/>
        </w:rPr>
        <w:t>indomethacin</w:t>
      </w:r>
      <w:proofErr w:type="spellEnd"/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(Ulcer Index = 12.3) and comparable to </w:t>
      </w:r>
      <w:proofErr w:type="spellStart"/>
      <w:r>
        <w:rPr>
          <w:rFonts w:asciiTheme="majorBidi" w:eastAsia="Calibri" w:hAnsiTheme="majorBidi" w:cstheme="majorBidi"/>
          <w:b/>
          <w:bCs/>
          <w:sz w:val="24"/>
          <w:szCs w:val="24"/>
        </w:rPr>
        <w:t>celecoxib</w:t>
      </w:r>
      <w:proofErr w:type="spellEnd"/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(Ulcer Index = 4.85).</w:t>
      </w:r>
    </w:p>
    <w:sectPr w:rsidR="00DA3A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0521C"/>
    <w:rsid w:val="0040521C"/>
    <w:rsid w:val="00DA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Grizli777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2018-09-20T08:45:00Z</dcterms:created>
  <dcterms:modified xsi:type="dcterms:W3CDTF">2018-09-20T08:45:00Z</dcterms:modified>
</cp:coreProperties>
</file>